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AFE20" w14:textId="77777777" w:rsidR="002B36E1" w:rsidRDefault="002B36E1" w:rsidP="00C53DFF">
      <w:pPr>
        <w:spacing w:after="120" w:line="360" w:lineRule="auto"/>
        <w:rPr>
          <w:b/>
          <w:bCs/>
          <w:sz w:val="24"/>
          <w:szCs w:val="24"/>
        </w:rPr>
      </w:pPr>
      <w:r w:rsidRPr="002B36E1">
        <w:rPr>
          <w:b/>
          <w:bCs/>
          <w:sz w:val="24"/>
          <w:szCs w:val="24"/>
        </w:rPr>
        <w:t>The Journey Is the Theory: The Emergence of Human Buffering Through Navigating Conflicting Practices in a South African University of Technology (2004–2024)</w:t>
      </w:r>
    </w:p>
    <w:p w14:paraId="0A66C376" w14:textId="52A53765" w:rsidR="00D00537" w:rsidRPr="00D00537" w:rsidRDefault="00D00537" w:rsidP="00C53DFF">
      <w:pPr>
        <w:spacing w:after="120" w:line="360" w:lineRule="auto"/>
        <w:rPr>
          <w:sz w:val="24"/>
          <w:szCs w:val="24"/>
        </w:rPr>
      </w:pPr>
      <w:r w:rsidRPr="00D00537">
        <w:rPr>
          <w:b/>
          <w:bCs/>
          <w:sz w:val="24"/>
          <w:szCs w:val="24"/>
        </w:rPr>
        <w:t>Author:</w:t>
      </w:r>
      <w:r w:rsidRPr="00D00537">
        <w:rPr>
          <w:sz w:val="24"/>
          <w:szCs w:val="24"/>
        </w:rPr>
        <w:t xml:space="preserve"> </w:t>
      </w:r>
      <w:r w:rsidRPr="00D00537">
        <w:rPr>
          <w:sz w:val="24"/>
          <w:szCs w:val="24"/>
        </w:rPr>
        <w:br/>
      </w:r>
      <w:r w:rsidRPr="00D00537">
        <w:rPr>
          <w:b/>
          <w:bCs/>
          <w:sz w:val="24"/>
          <w:szCs w:val="24"/>
        </w:rPr>
        <w:t>Institutional Context:</w:t>
      </w:r>
      <w:r w:rsidRPr="00D00537">
        <w:rPr>
          <w:sz w:val="24"/>
          <w:szCs w:val="24"/>
        </w:rPr>
        <w:t xml:space="preserve"> </w:t>
      </w:r>
      <w:r w:rsidRPr="00D00537">
        <w:rPr>
          <w:sz w:val="24"/>
          <w:szCs w:val="24"/>
        </w:rPr>
        <w:br/>
      </w:r>
      <w:r w:rsidRPr="00D00537">
        <w:rPr>
          <w:b/>
          <w:bCs/>
          <w:sz w:val="24"/>
          <w:szCs w:val="24"/>
        </w:rPr>
        <w:t>Methodological Lens:</w:t>
      </w:r>
      <w:r w:rsidRPr="00D00537">
        <w:rPr>
          <w:sz w:val="24"/>
          <w:szCs w:val="24"/>
        </w:rPr>
        <w:t xml:space="preserve"> Living Educational Theory &amp; Activity Theory</w:t>
      </w:r>
      <w:r w:rsidRPr="00D00537">
        <w:rPr>
          <w:sz w:val="24"/>
          <w:szCs w:val="24"/>
        </w:rPr>
        <w:br/>
      </w:r>
      <w:r w:rsidRPr="00D00537">
        <w:rPr>
          <w:b/>
          <w:bCs/>
          <w:sz w:val="24"/>
          <w:szCs w:val="24"/>
        </w:rPr>
        <w:t>Corresponding Author:</w:t>
      </w:r>
      <w:r w:rsidRPr="00D00537">
        <w:rPr>
          <w:sz w:val="24"/>
          <w:szCs w:val="24"/>
        </w:rPr>
        <w:t xml:space="preserve"> </w:t>
      </w:r>
      <w:r w:rsidRPr="00D00537">
        <w:rPr>
          <w:sz w:val="24"/>
          <w:szCs w:val="24"/>
        </w:rPr>
        <w:br/>
      </w:r>
      <w:r w:rsidRPr="00D00537">
        <w:rPr>
          <w:b/>
          <w:bCs/>
          <w:sz w:val="24"/>
          <w:szCs w:val="24"/>
        </w:rPr>
        <w:t xml:space="preserve">ORCID </w:t>
      </w:r>
      <w:proofErr w:type="spellStart"/>
      <w:r w:rsidRPr="00D00537">
        <w:rPr>
          <w:b/>
          <w:bCs/>
          <w:sz w:val="24"/>
          <w:szCs w:val="24"/>
        </w:rPr>
        <w:t>iD</w:t>
      </w:r>
      <w:proofErr w:type="spellEnd"/>
      <w:r w:rsidRPr="00D00537">
        <w:rPr>
          <w:b/>
          <w:bCs/>
          <w:sz w:val="24"/>
          <w:szCs w:val="24"/>
        </w:rPr>
        <w:t>:</w:t>
      </w:r>
      <w:r w:rsidRPr="00D00537">
        <w:rPr>
          <w:sz w:val="24"/>
          <w:szCs w:val="24"/>
        </w:rPr>
        <w:t xml:space="preserve"> </w:t>
      </w:r>
    </w:p>
    <w:p w14:paraId="23654628" w14:textId="7A5BE210" w:rsidR="00D00537" w:rsidRPr="00D00537" w:rsidRDefault="00D00537" w:rsidP="00D00537">
      <w:pPr>
        <w:spacing w:after="120" w:line="360" w:lineRule="auto"/>
        <w:jc w:val="both"/>
        <w:rPr>
          <w:sz w:val="24"/>
          <w:szCs w:val="24"/>
        </w:rPr>
      </w:pPr>
    </w:p>
    <w:p w14:paraId="7F414086" w14:textId="04D51595" w:rsidR="00D00537" w:rsidRPr="00D00537" w:rsidRDefault="00D00537" w:rsidP="00A97A8F">
      <w:pPr>
        <w:pStyle w:val="EjoltHeading1"/>
      </w:pPr>
      <w:r w:rsidRPr="00D00537">
        <w:t xml:space="preserve">Abstract </w:t>
      </w:r>
    </w:p>
    <w:p w14:paraId="4438463F" w14:textId="102E3466" w:rsidR="00FD6366" w:rsidRDefault="00FD6366" w:rsidP="003F0437">
      <w:pPr>
        <w:spacing w:after="120" w:line="360" w:lineRule="auto"/>
        <w:jc w:val="both"/>
        <w:rPr>
          <w:sz w:val="24"/>
          <w:szCs w:val="24"/>
        </w:rPr>
      </w:pPr>
      <w:r w:rsidRPr="00FD6366">
        <w:rPr>
          <w:sz w:val="24"/>
          <w:szCs w:val="24"/>
        </w:rPr>
        <w:t>South African higher education continues to operate within a context characterised by widening access, student vulnerability, institutional accountability, and increasing demands for teaching, research, and community engagement. For many academics, these realities create tensions between institutional expectations and the lived experiences of students who frequently encounter poverty, food insecurity, language barriers, digital exclusion, and uneven educational preparation. This study explores how such competing realities were experienced and negotiated within a University of Technology over a twenty-year period.</w:t>
      </w:r>
    </w:p>
    <w:p w14:paraId="19B56B3E" w14:textId="01ED7336" w:rsidR="00FD6366" w:rsidRDefault="0037780A" w:rsidP="003F0437">
      <w:pPr>
        <w:spacing w:after="120" w:line="360" w:lineRule="auto"/>
        <w:jc w:val="both"/>
        <w:rPr>
          <w:sz w:val="24"/>
          <w:szCs w:val="24"/>
        </w:rPr>
      </w:pPr>
      <w:r w:rsidRPr="0037780A">
        <w:rPr>
          <w:sz w:val="24"/>
          <w:szCs w:val="24"/>
        </w:rPr>
        <w:t>The inquiry is located within a Living Theory framework and asks: How do I improve what I am doing? Drawing on practitioner inquiry, the study utilises reflective and documentary evidence from a Postgraduate Diploma in Higher Education portfolio (2015), a doctoral study on conflicting practices in higher education, a Vice-Chancellor's Award portfolio, and a community engagement portfolio. These sources were revisited and analysed to trace the development of practice, values, and educational influence over time.</w:t>
      </w:r>
    </w:p>
    <w:p w14:paraId="7B876B90" w14:textId="19133C02" w:rsidR="0037780A" w:rsidRDefault="0037780A" w:rsidP="003F0437">
      <w:pPr>
        <w:spacing w:after="120" w:line="360" w:lineRule="auto"/>
        <w:jc w:val="both"/>
        <w:rPr>
          <w:sz w:val="24"/>
          <w:szCs w:val="24"/>
        </w:rPr>
      </w:pPr>
      <w:r w:rsidRPr="0037780A">
        <w:rPr>
          <w:sz w:val="24"/>
          <w:szCs w:val="24"/>
        </w:rPr>
        <w:t xml:space="preserve">The findings reveal a recurring pattern of mediating tensions between institutional demands and student realities. Across diverse contexts, including teaching, assessment, curriculum work, student support, mentoring, and community engagement, values of care, dignity, inclusion, and responsibility informed actions intended to sustain learning and participation. Through critical reflection on these experiences, the concept of </w:t>
      </w:r>
      <w:r w:rsidRPr="00B9178F">
        <w:rPr>
          <w:b/>
          <w:bCs/>
          <w:sz w:val="24"/>
          <w:szCs w:val="24"/>
        </w:rPr>
        <w:t>Human Buffering</w:t>
      </w:r>
      <w:r w:rsidRPr="0037780A">
        <w:rPr>
          <w:sz w:val="24"/>
          <w:szCs w:val="24"/>
        </w:rPr>
        <w:t xml:space="preserve"> emerged as a way of explaining how academics create educational possibilities when confronted with conflicting practices.</w:t>
      </w:r>
    </w:p>
    <w:p w14:paraId="0F812DB5" w14:textId="2EB67B12" w:rsidR="00FD6366" w:rsidRDefault="00B9178F" w:rsidP="003F0437">
      <w:pPr>
        <w:spacing w:after="120" w:line="360" w:lineRule="auto"/>
        <w:jc w:val="both"/>
        <w:rPr>
          <w:sz w:val="24"/>
          <w:szCs w:val="24"/>
        </w:rPr>
      </w:pPr>
      <w:r w:rsidRPr="00B9178F">
        <w:rPr>
          <w:sz w:val="24"/>
          <w:szCs w:val="24"/>
        </w:rPr>
        <w:lastRenderedPageBreak/>
        <w:t>The article contributes a practitioner-generated explanation of Human Buffering as a values-led form of educational mediation. It demonstrates how Living Theory can illuminate the emergence of theory from practice and provides evidence of educational influence reflected in student development, curriculum enhancement, community engagement, and sustained professional learning.</w:t>
      </w:r>
    </w:p>
    <w:p w14:paraId="0462C0F6" w14:textId="77777777" w:rsidR="006774D9" w:rsidRPr="00D00537" w:rsidRDefault="006774D9" w:rsidP="00D00537">
      <w:pPr>
        <w:spacing w:after="120" w:line="360" w:lineRule="auto"/>
        <w:jc w:val="both"/>
        <w:rPr>
          <w:sz w:val="24"/>
          <w:szCs w:val="24"/>
        </w:rPr>
      </w:pPr>
    </w:p>
    <w:p w14:paraId="0F3F35C9" w14:textId="77777777" w:rsidR="00A97A8F" w:rsidRPr="008F1FC3" w:rsidRDefault="00D00537" w:rsidP="008F1FC3">
      <w:pPr>
        <w:rPr>
          <w:b/>
          <w:bCs/>
          <w:sz w:val="24"/>
          <w:szCs w:val="24"/>
        </w:rPr>
      </w:pPr>
      <w:r w:rsidRPr="008F1FC3">
        <w:rPr>
          <w:b/>
          <w:bCs/>
          <w:sz w:val="24"/>
          <w:szCs w:val="24"/>
        </w:rPr>
        <w:t xml:space="preserve">Keywords: </w:t>
      </w:r>
    </w:p>
    <w:p w14:paraId="00E17C41" w14:textId="09DB7481" w:rsidR="00D00537" w:rsidRDefault="0096452E" w:rsidP="0096452E">
      <w:pPr>
        <w:spacing w:after="120" w:line="360" w:lineRule="auto"/>
        <w:jc w:val="both"/>
        <w:rPr>
          <w:sz w:val="24"/>
          <w:szCs w:val="24"/>
        </w:rPr>
      </w:pPr>
      <w:r w:rsidRPr="0096452E">
        <w:rPr>
          <w:sz w:val="24"/>
          <w:szCs w:val="24"/>
        </w:rPr>
        <w:t>Educational Mediation</w:t>
      </w:r>
      <w:r>
        <w:rPr>
          <w:sz w:val="24"/>
          <w:szCs w:val="24"/>
        </w:rPr>
        <w:t xml:space="preserve">; </w:t>
      </w:r>
      <w:r w:rsidRPr="0096452E">
        <w:rPr>
          <w:sz w:val="24"/>
          <w:szCs w:val="24"/>
        </w:rPr>
        <w:t>Higher Education</w:t>
      </w:r>
      <w:r>
        <w:rPr>
          <w:sz w:val="24"/>
          <w:szCs w:val="24"/>
        </w:rPr>
        <w:t xml:space="preserve">; </w:t>
      </w:r>
      <w:r w:rsidRPr="0096452E">
        <w:rPr>
          <w:sz w:val="24"/>
          <w:szCs w:val="24"/>
        </w:rPr>
        <w:t>Human Buffering</w:t>
      </w:r>
      <w:r>
        <w:rPr>
          <w:sz w:val="24"/>
          <w:szCs w:val="24"/>
        </w:rPr>
        <w:t xml:space="preserve">; </w:t>
      </w:r>
      <w:r w:rsidRPr="0096452E">
        <w:rPr>
          <w:sz w:val="24"/>
          <w:szCs w:val="24"/>
        </w:rPr>
        <w:t>Living Theory</w:t>
      </w:r>
      <w:r w:rsidR="008B2D0D">
        <w:rPr>
          <w:sz w:val="24"/>
          <w:szCs w:val="24"/>
        </w:rPr>
        <w:t xml:space="preserve">; </w:t>
      </w:r>
      <w:r w:rsidRPr="0096452E">
        <w:rPr>
          <w:sz w:val="24"/>
          <w:szCs w:val="24"/>
        </w:rPr>
        <w:t>Practitioner Inquiry</w:t>
      </w:r>
      <w:r w:rsidR="008B2D0D">
        <w:rPr>
          <w:sz w:val="24"/>
          <w:szCs w:val="24"/>
        </w:rPr>
        <w:t xml:space="preserve">; </w:t>
      </w:r>
      <w:r w:rsidRPr="0096452E">
        <w:rPr>
          <w:sz w:val="24"/>
          <w:szCs w:val="24"/>
        </w:rPr>
        <w:t>Ubuntu</w:t>
      </w:r>
    </w:p>
    <w:p w14:paraId="041B6013" w14:textId="77777777" w:rsidR="008B2D0D" w:rsidRPr="00D00537" w:rsidRDefault="008B2D0D" w:rsidP="0096452E">
      <w:pPr>
        <w:spacing w:after="120" w:line="360" w:lineRule="auto"/>
        <w:jc w:val="both"/>
        <w:rPr>
          <w:sz w:val="24"/>
          <w:szCs w:val="24"/>
        </w:rPr>
      </w:pPr>
    </w:p>
    <w:p w14:paraId="65688B79" w14:textId="08C5384C" w:rsidR="00D00537" w:rsidRPr="00D00537" w:rsidRDefault="00D00537" w:rsidP="00A97A8F">
      <w:pPr>
        <w:pStyle w:val="EjoltHeading1"/>
      </w:pPr>
      <w:r w:rsidRPr="00D00537">
        <w:t>1. Introduction</w:t>
      </w:r>
    </w:p>
    <w:p w14:paraId="3ACB9B5B" w14:textId="1C92669B" w:rsidR="002322FE" w:rsidRPr="0004090F" w:rsidRDefault="0017580B" w:rsidP="008A55C8">
      <w:pPr>
        <w:pStyle w:val="EjoltHeading1"/>
        <w:jc w:val="both"/>
        <w:rPr>
          <w:rFonts w:asciiTheme="minorHAnsi" w:hAnsiTheme="minorHAnsi" w:cstheme="minorHAnsi"/>
          <w:sz w:val="24"/>
          <w:szCs w:val="24"/>
        </w:rPr>
      </w:pPr>
      <w:r>
        <w:rPr>
          <w:rFonts w:asciiTheme="minorHAnsi" w:hAnsiTheme="minorHAnsi" w:cstheme="minorHAnsi"/>
          <w:sz w:val="24"/>
          <w:szCs w:val="24"/>
        </w:rPr>
        <w:t xml:space="preserve">1.1 </w:t>
      </w:r>
      <w:r w:rsidR="0004090F" w:rsidRPr="0004090F">
        <w:rPr>
          <w:rFonts w:asciiTheme="minorHAnsi" w:hAnsiTheme="minorHAnsi" w:cstheme="minorHAnsi"/>
          <w:sz w:val="24"/>
          <w:szCs w:val="24"/>
        </w:rPr>
        <w:t>Higher Education in a Context of Competing Demands</w:t>
      </w:r>
    </w:p>
    <w:p w14:paraId="0F55D22A" w14:textId="0F1E4E96" w:rsidR="008F2DF5" w:rsidRDefault="00E945C9" w:rsidP="008F2DF5">
      <w:pPr>
        <w:pStyle w:val="EjoltHeading1"/>
        <w:jc w:val="both"/>
        <w:rPr>
          <w:rFonts w:asciiTheme="minorHAnsi" w:hAnsiTheme="minorHAnsi" w:cstheme="minorHAnsi"/>
          <w:b w:val="0"/>
          <w:bCs w:val="0"/>
          <w:sz w:val="24"/>
          <w:szCs w:val="24"/>
        </w:rPr>
      </w:pPr>
      <w:r w:rsidRPr="00E945C9">
        <w:rPr>
          <w:rFonts w:asciiTheme="minorHAnsi" w:hAnsiTheme="minorHAnsi" w:cstheme="minorHAnsi"/>
          <w:b w:val="0"/>
          <w:bCs w:val="0"/>
          <w:sz w:val="24"/>
          <w:szCs w:val="24"/>
        </w:rPr>
        <w:t>Contemporary higher education institutions operate within increasingly complex environments characterised by competing and often contradictory expectations. Academics are expected to contribute simultaneously to teaching and learning, research productivity, community engagement, student success, institutional transformation, and quality assurance initiatives. These expectations are reinforced through national policies, performance indicators, accreditation processes, and funding mechanisms that place increasing pressure on universities to demonstrate effectiveness, efficiency, responsiveness, and measurable outcomes (Badat, 2010; CHE, 2015). Within South African universities of technology, these pressures are further intensified by student massification, resource constraints, infrastructure limitations, and the expectation that institutions contribute directly to social and economic development (Mouton, 2016; CHE, 2015).</w:t>
      </w:r>
    </w:p>
    <w:p w14:paraId="773796DF" w14:textId="71D99370" w:rsidR="0004090F" w:rsidRDefault="00684188" w:rsidP="008F2DF5">
      <w:pPr>
        <w:pStyle w:val="EjoltHeading1"/>
        <w:jc w:val="both"/>
        <w:rPr>
          <w:rFonts w:asciiTheme="minorHAnsi" w:hAnsiTheme="minorHAnsi" w:cstheme="minorHAnsi"/>
          <w:b w:val="0"/>
          <w:bCs w:val="0"/>
          <w:sz w:val="24"/>
          <w:szCs w:val="24"/>
        </w:rPr>
      </w:pPr>
      <w:r w:rsidRPr="00684188">
        <w:rPr>
          <w:rFonts w:asciiTheme="minorHAnsi" w:hAnsiTheme="minorHAnsi" w:cstheme="minorHAnsi"/>
          <w:b w:val="0"/>
          <w:bCs w:val="0"/>
          <w:sz w:val="24"/>
          <w:szCs w:val="24"/>
        </w:rPr>
        <w:t>My own experience as an academic has unfolded within this environment of competing demands. Since entering higher education in 2004, I have worked across different institutional contexts and have experienced the increasing complexity associated with balancing teaching, research, academic administration, curriculum responsibilities, and student support. My doctoral inquiry identified these tensions as conflicting practices, a phenomenon arising when institutional expectations, professional responsibilities, and student realities compete for attention within the everyday work of academics (Patel, 2024).</w:t>
      </w:r>
    </w:p>
    <w:p w14:paraId="4555DD9A" w14:textId="77777777" w:rsidR="008C1EBB" w:rsidRPr="008F2DF5" w:rsidRDefault="008C1EBB" w:rsidP="008F2DF5">
      <w:pPr>
        <w:pStyle w:val="EjoltHeading1"/>
        <w:jc w:val="both"/>
        <w:rPr>
          <w:rFonts w:asciiTheme="minorHAnsi" w:hAnsiTheme="minorHAnsi" w:cstheme="minorHAnsi"/>
          <w:b w:val="0"/>
          <w:bCs w:val="0"/>
          <w:sz w:val="24"/>
          <w:szCs w:val="24"/>
        </w:rPr>
      </w:pPr>
    </w:p>
    <w:p w14:paraId="6D4F0972" w14:textId="6AC89E23" w:rsidR="008F2DF5" w:rsidRPr="008F2DF5" w:rsidRDefault="0017580B" w:rsidP="008F2DF5">
      <w:pPr>
        <w:pStyle w:val="EjoltHeading1"/>
        <w:jc w:val="both"/>
        <w:rPr>
          <w:rFonts w:asciiTheme="minorHAnsi" w:hAnsiTheme="minorHAnsi" w:cstheme="minorHAnsi"/>
          <w:b w:val="0"/>
          <w:bCs w:val="0"/>
          <w:sz w:val="24"/>
          <w:szCs w:val="24"/>
        </w:rPr>
      </w:pPr>
      <w:r>
        <w:rPr>
          <w:rFonts w:asciiTheme="minorHAnsi" w:hAnsiTheme="minorHAnsi" w:cstheme="minorHAnsi"/>
          <w:sz w:val="24"/>
          <w:szCs w:val="24"/>
        </w:rPr>
        <w:t xml:space="preserve">1.2 </w:t>
      </w:r>
      <w:r w:rsidR="00684188" w:rsidRPr="00684188">
        <w:rPr>
          <w:rFonts w:asciiTheme="minorHAnsi" w:hAnsiTheme="minorHAnsi" w:cstheme="minorHAnsi"/>
          <w:sz w:val="24"/>
          <w:szCs w:val="24"/>
        </w:rPr>
        <w:t>The Problem of Conflicting Practices</w:t>
      </w:r>
    </w:p>
    <w:p w14:paraId="5993981D" w14:textId="0A234072" w:rsidR="00620DA2" w:rsidRPr="00620DA2" w:rsidRDefault="00620DA2" w:rsidP="00620DA2">
      <w:pPr>
        <w:pStyle w:val="EjoltHeading1"/>
        <w:jc w:val="both"/>
        <w:rPr>
          <w:rFonts w:asciiTheme="minorHAnsi" w:hAnsiTheme="minorHAnsi" w:cstheme="minorHAnsi"/>
          <w:b w:val="0"/>
          <w:bCs w:val="0"/>
          <w:sz w:val="24"/>
          <w:szCs w:val="24"/>
        </w:rPr>
      </w:pPr>
      <w:r w:rsidRPr="00620DA2">
        <w:rPr>
          <w:rFonts w:asciiTheme="minorHAnsi" w:hAnsiTheme="minorHAnsi" w:cstheme="minorHAnsi"/>
          <w:b w:val="0"/>
          <w:bCs w:val="0"/>
          <w:sz w:val="24"/>
          <w:szCs w:val="24"/>
        </w:rPr>
        <w:t>A significant challenge facing academics is the disconnect between institutional assumptions and student realities. Higher education systems often assume that students possess the necessary conditions to engage successfully with learning. These assumptions include regular attendance, adequate academic preparation, financial stability, access to learning resources, and reliable digital connectivity. However, the realities experienced by many students frequently differ substantially from these expectations.</w:t>
      </w:r>
    </w:p>
    <w:p w14:paraId="34C09571" w14:textId="77777777" w:rsidR="00620DA2" w:rsidRPr="00620DA2" w:rsidRDefault="00620DA2" w:rsidP="00620DA2">
      <w:pPr>
        <w:pStyle w:val="EjoltHeading1"/>
        <w:jc w:val="both"/>
        <w:rPr>
          <w:rFonts w:asciiTheme="minorHAnsi" w:hAnsiTheme="minorHAnsi" w:cstheme="minorHAnsi"/>
          <w:b w:val="0"/>
          <w:bCs w:val="0"/>
          <w:sz w:val="24"/>
          <w:szCs w:val="24"/>
        </w:rPr>
      </w:pPr>
      <w:r w:rsidRPr="00620DA2">
        <w:rPr>
          <w:rFonts w:asciiTheme="minorHAnsi" w:hAnsiTheme="minorHAnsi" w:cstheme="minorHAnsi"/>
          <w:b w:val="0"/>
          <w:bCs w:val="0"/>
          <w:sz w:val="24"/>
          <w:szCs w:val="24"/>
        </w:rPr>
        <w:t>In my doctoral research, students were described as confronting poverty, food insecurity, inadequate accommodation, language barriers, digital exclusion, and under-preparedness for higher education (Patel, 2024). Similar observations appeared almost a decade earlier in my Postgraduate Diploma in Higher Education portfolio, where I reflected on students' inability to purchase textbooks, difficulties associated with English as a medium of instruction, and the effects of poverty on participation and success. Students frequently struggled to access resources, concentrate in class because of hunger, or engage fully with academic activities because of wider socio-economic challenges (Patel, 2015).</w:t>
      </w:r>
    </w:p>
    <w:p w14:paraId="66926CCB" w14:textId="7C2283B1" w:rsidR="008F2DF5" w:rsidRDefault="00620DA2" w:rsidP="00620DA2">
      <w:pPr>
        <w:pStyle w:val="EjoltHeading1"/>
        <w:jc w:val="both"/>
        <w:rPr>
          <w:rFonts w:asciiTheme="minorHAnsi" w:hAnsiTheme="minorHAnsi" w:cstheme="minorHAnsi"/>
          <w:b w:val="0"/>
          <w:bCs w:val="0"/>
          <w:sz w:val="24"/>
          <w:szCs w:val="24"/>
        </w:rPr>
      </w:pPr>
      <w:r w:rsidRPr="00620DA2">
        <w:rPr>
          <w:rFonts w:asciiTheme="minorHAnsi" w:hAnsiTheme="minorHAnsi" w:cstheme="minorHAnsi"/>
          <w:b w:val="0"/>
          <w:bCs w:val="0"/>
          <w:sz w:val="24"/>
          <w:szCs w:val="24"/>
        </w:rPr>
        <w:t xml:space="preserve">These realities created recurring tensions in my practice. As an academic, I was required to meet institutional expectations regarding curriculum coverage, assessment, throughput rates, and academic standards while simultaneously responding to students whose circumstances often limited their ability to participate fully in university life. </w:t>
      </w:r>
    </w:p>
    <w:p w14:paraId="220D6CA4" w14:textId="161A36DC" w:rsidR="008F2DF5" w:rsidRPr="008F2DF5" w:rsidRDefault="0017580B" w:rsidP="008F2DF5">
      <w:pPr>
        <w:pStyle w:val="EjoltHeading1"/>
        <w:jc w:val="both"/>
        <w:rPr>
          <w:rFonts w:asciiTheme="minorHAnsi" w:hAnsiTheme="minorHAnsi" w:cstheme="minorHAnsi"/>
          <w:b w:val="0"/>
          <w:bCs w:val="0"/>
          <w:sz w:val="24"/>
          <w:szCs w:val="24"/>
        </w:rPr>
      </w:pPr>
      <w:r>
        <w:rPr>
          <w:rFonts w:asciiTheme="minorHAnsi" w:hAnsiTheme="minorHAnsi" w:cstheme="minorHAnsi"/>
          <w:sz w:val="24"/>
          <w:szCs w:val="24"/>
        </w:rPr>
        <w:t xml:space="preserve">1.3 </w:t>
      </w:r>
      <w:r w:rsidR="00620DA2" w:rsidRPr="00620DA2">
        <w:rPr>
          <w:rFonts w:asciiTheme="minorHAnsi" w:hAnsiTheme="minorHAnsi" w:cstheme="minorHAnsi"/>
          <w:sz w:val="24"/>
          <w:szCs w:val="24"/>
        </w:rPr>
        <w:t>Conceptual and Theoretical Gap</w:t>
      </w:r>
    </w:p>
    <w:p w14:paraId="6D20C8A2" w14:textId="77777777" w:rsidR="00253F53" w:rsidRPr="00253F53" w:rsidRDefault="00253F53" w:rsidP="00253F53">
      <w:pPr>
        <w:pStyle w:val="EjoltHeading1"/>
        <w:jc w:val="both"/>
        <w:rPr>
          <w:rFonts w:asciiTheme="minorHAnsi" w:hAnsiTheme="minorHAnsi" w:cstheme="minorHAnsi"/>
          <w:b w:val="0"/>
          <w:bCs w:val="0"/>
          <w:sz w:val="24"/>
          <w:szCs w:val="24"/>
        </w:rPr>
      </w:pPr>
      <w:r w:rsidRPr="00253F53">
        <w:rPr>
          <w:rFonts w:asciiTheme="minorHAnsi" w:hAnsiTheme="minorHAnsi" w:cstheme="minorHAnsi"/>
          <w:b w:val="0"/>
          <w:bCs w:val="0"/>
          <w:sz w:val="24"/>
          <w:szCs w:val="24"/>
        </w:rPr>
        <w:t>Several concepts provide important insights into aspects of these experiences. The literature on care highlights the importance of responsiveness, relational support, and concern for student wellbeing (</w:t>
      </w:r>
      <w:proofErr w:type="spellStart"/>
      <w:r w:rsidRPr="00253F53">
        <w:rPr>
          <w:rFonts w:asciiTheme="minorHAnsi" w:hAnsiTheme="minorHAnsi" w:cstheme="minorHAnsi"/>
          <w:b w:val="0"/>
          <w:bCs w:val="0"/>
          <w:sz w:val="24"/>
          <w:szCs w:val="24"/>
        </w:rPr>
        <w:t>Noddings</w:t>
      </w:r>
      <w:proofErr w:type="spellEnd"/>
      <w:r w:rsidRPr="00253F53">
        <w:rPr>
          <w:rFonts w:asciiTheme="minorHAnsi" w:hAnsiTheme="minorHAnsi" w:cstheme="minorHAnsi"/>
          <w:b w:val="0"/>
          <w:bCs w:val="0"/>
          <w:sz w:val="24"/>
          <w:szCs w:val="24"/>
        </w:rPr>
        <w:t>, 2013). Emotional labour explains how educators manage emotional demands associated with professional practice (Hochschild, 1983). Academic identity literature provides insight into how academics understand and enact their professional roles (Leibowitz, 2012). Similarly, Ubuntu foregrounds relationality, interconnectedness, and respect for human dignity within educational contexts (</w:t>
      </w:r>
      <w:proofErr w:type="spellStart"/>
      <w:r w:rsidRPr="00253F53">
        <w:rPr>
          <w:rFonts w:asciiTheme="minorHAnsi" w:hAnsiTheme="minorHAnsi" w:cstheme="minorHAnsi"/>
          <w:b w:val="0"/>
          <w:bCs w:val="0"/>
          <w:sz w:val="24"/>
          <w:szCs w:val="24"/>
        </w:rPr>
        <w:t>Letseka</w:t>
      </w:r>
      <w:proofErr w:type="spellEnd"/>
      <w:r w:rsidRPr="00253F53">
        <w:rPr>
          <w:rFonts w:asciiTheme="minorHAnsi" w:hAnsiTheme="minorHAnsi" w:cstheme="minorHAnsi"/>
          <w:b w:val="0"/>
          <w:bCs w:val="0"/>
          <w:sz w:val="24"/>
          <w:szCs w:val="24"/>
        </w:rPr>
        <w:t>, 2012).</w:t>
      </w:r>
    </w:p>
    <w:p w14:paraId="73E67968" w14:textId="66ECFAAB" w:rsidR="008F2DF5" w:rsidRDefault="00555ACD" w:rsidP="00253F53">
      <w:pPr>
        <w:pStyle w:val="EjoltHeading1"/>
        <w:jc w:val="both"/>
        <w:rPr>
          <w:rFonts w:asciiTheme="minorHAnsi" w:hAnsiTheme="minorHAnsi" w:cstheme="minorHAnsi"/>
          <w:b w:val="0"/>
          <w:bCs w:val="0"/>
          <w:sz w:val="24"/>
          <w:szCs w:val="24"/>
        </w:rPr>
      </w:pPr>
      <w:r w:rsidRPr="00555ACD">
        <w:rPr>
          <w:rFonts w:asciiTheme="minorHAnsi" w:hAnsiTheme="minorHAnsi" w:cstheme="minorHAnsi"/>
          <w:b w:val="0"/>
          <w:bCs w:val="0"/>
          <w:sz w:val="24"/>
          <w:szCs w:val="24"/>
        </w:rPr>
        <w:lastRenderedPageBreak/>
        <w:t>Although these perspectives illuminate important dimensions of educational practice, none provides a sufficiently explicit explanation of how academics negotiate competing educational, institutional, and human responsibilities in their everyday work. This suggests a need for a concept capable of explaining this mediating practice.</w:t>
      </w:r>
    </w:p>
    <w:p w14:paraId="20DFF897" w14:textId="7B7BF3AD" w:rsidR="008F2DF5" w:rsidRPr="008F2DF5" w:rsidRDefault="0017580B" w:rsidP="008F2DF5">
      <w:pPr>
        <w:pStyle w:val="EjoltHeading1"/>
        <w:jc w:val="both"/>
        <w:rPr>
          <w:rFonts w:asciiTheme="minorHAnsi" w:hAnsiTheme="minorHAnsi" w:cstheme="minorHAnsi"/>
          <w:b w:val="0"/>
          <w:bCs w:val="0"/>
          <w:sz w:val="24"/>
          <w:szCs w:val="24"/>
        </w:rPr>
      </w:pPr>
      <w:r>
        <w:rPr>
          <w:rFonts w:asciiTheme="minorHAnsi" w:hAnsiTheme="minorHAnsi" w:cstheme="minorHAnsi"/>
          <w:sz w:val="24"/>
          <w:szCs w:val="24"/>
        </w:rPr>
        <w:t xml:space="preserve">1.4 </w:t>
      </w:r>
      <w:r w:rsidR="00253F53" w:rsidRPr="00253F53">
        <w:rPr>
          <w:rFonts w:asciiTheme="minorHAnsi" w:hAnsiTheme="minorHAnsi" w:cstheme="minorHAnsi"/>
          <w:sz w:val="24"/>
          <w:szCs w:val="24"/>
        </w:rPr>
        <w:t>Research Question and Contribution</w:t>
      </w:r>
    </w:p>
    <w:p w14:paraId="269BA838" w14:textId="77777777" w:rsidR="00745ABB" w:rsidRPr="00745ABB" w:rsidRDefault="00745ABB" w:rsidP="00745ABB">
      <w:pPr>
        <w:rPr>
          <w:rFonts w:cstheme="minorHAnsi"/>
          <w:sz w:val="24"/>
          <w:szCs w:val="24"/>
        </w:rPr>
      </w:pPr>
      <w:r w:rsidRPr="00745ABB">
        <w:rPr>
          <w:rFonts w:cstheme="minorHAnsi"/>
          <w:sz w:val="24"/>
          <w:szCs w:val="24"/>
        </w:rPr>
        <w:t>This article addresses the following research question:</w:t>
      </w:r>
    </w:p>
    <w:p w14:paraId="3C91303B" w14:textId="77777777" w:rsidR="00745ABB" w:rsidRPr="00745ABB" w:rsidRDefault="00745ABB" w:rsidP="00745ABB">
      <w:pPr>
        <w:ind w:left="720"/>
        <w:rPr>
          <w:rFonts w:cstheme="minorHAnsi"/>
          <w:sz w:val="24"/>
          <w:szCs w:val="24"/>
        </w:rPr>
      </w:pPr>
      <w:r w:rsidRPr="00745ABB">
        <w:rPr>
          <w:rFonts w:cstheme="minorHAnsi"/>
          <w:b/>
          <w:bCs/>
          <w:sz w:val="24"/>
          <w:szCs w:val="24"/>
        </w:rPr>
        <w:t>How did a twenty-year Living Theory inquiry into conflicting practices lead to the emergence of Human Buffering?</w:t>
      </w:r>
    </w:p>
    <w:p w14:paraId="2EE0B690" w14:textId="176126BA" w:rsidR="00FF575E" w:rsidRPr="00FF575E" w:rsidRDefault="00545C83" w:rsidP="00FF575E">
      <w:pPr>
        <w:rPr>
          <w:rFonts w:cstheme="minorHAnsi"/>
          <w:sz w:val="24"/>
          <w:szCs w:val="24"/>
        </w:rPr>
      </w:pPr>
      <w:r w:rsidRPr="00545C83">
        <w:rPr>
          <w:rFonts w:cstheme="minorHAnsi"/>
          <w:sz w:val="24"/>
          <w:szCs w:val="24"/>
        </w:rPr>
        <w:t>Drawing on evidence generated across two decades of academic practice, the article examines how a practitioner-generated concept emerged through sustained reflection on educational experience.</w:t>
      </w:r>
    </w:p>
    <w:p w14:paraId="10000D46" w14:textId="6FD63C47" w:rsidR="004714D5" w:rsidRDefault="00FF575E" w:rsidP="00FF575E">
      <w:pPr>
        <w:rPr>
          <w:rFonts w:cstheme="minorHAnsi"/>
          <w:sz w:val="24"/>
          <w:szCs w:val="24"/>
        </w:rPr>
      </w:pPr>
      <w:r w:rsidRPr="00FF575E">
        <w:rPr>
          <w:rFonts w:cstheme="minorHAnsi"/>
          <w:sz w:val="24"/>
          <w:szCs w:val="24"/>
        </w:rPr>
        <w:t xml:space="preserve">The article makes three contributions. </w:t>
      </w:r>
      <w:r w:rsidR="00B25574" w:rsidRPr="00B25574">
        <w:rPr>
          <w:rFonts w:cstheme="minorHAnsi"/>
          <w:sz w:val="24"/>
          <w:szCs w:val="24"/>
        </w:rPr>
        <w:t>First, it introduces Human Buffering as a practitioner-generated explanation of educational mediation. Second, it presents evidence of educational influence across multiple contexts. Third, it contributes a Living Theory account of concept development through sustained practitioner inquiry.</w:t>
      </w:r>
    </w:p>
    <w:p w14:paraId="729F1D2A" w14:textId="77777777" w:rsidR="0004398C" w:rsidRPr="0009420A" w:rsidRDefault="0004398C" w:rsidP="00FF575E">
      <w:pPr>
        <w:rPr>
          <w:rFonts w:cstheme="minorHAnsi"/>
          <w:sz w:val="24"/>
          <w:szCs w:val="24"/>
        </w:rPr>
      </w:pPr>
    </w:p>
    <w:p w14:paraId="61628E4B" w14:textId="5EAFA642" w:rsidR="002D1E57" w:rsidRDefault="002D1E57" w:rsidP="003E5A1C">
      <w:pPr>
        <w:spacing w:after="120" w:line="360" w:lineRule="auto"/>
        <w:jc w:val="both"/>
        <w:rPr>
          <w:rFonts w:cstheme="minorHAnsi"/>
          <w:b/>
          <w:bCs/>
          <w:sz w:val="24"/>
          <w:szCs w:val="24"/>
        </w:rPr>
      </w:pPr>
      <w:r w:rsidRPr="006D0F8A">
        <w:rPr>
          <w:rFonts w:cstheme="minorHAnsi"/>
          <w:b/>
          <w:bCs/>
          <w:sz w:val="24"/>
          <w:szCs w:val="24"/>
        </w:rPr>
        <w:t xml:space="preserve">2. </w:t>
      </w:r>
      <w:r w:rsidR="00F12218" w:rsidRPr="00F12218">
        <w:rPr>
          <w:rFonts w:cstheme="minorHAnsi"/>
          <w:b/>
          <w:bCs/>
          <w:sz w:val="24"/>
          <w:szCs w:val="24"/>
        </w:rPr>
        <w:t>Context and Literature Review</w:t>
      </w:r>
    </w:p>
    <w:p w14:paraId="647C256B" w14:textId="48AA1279" w:rsidR="00905C57" w:rsidRDefault="009C2B3A" w:rsidP="003E5A1C">
      <w:pPr>
        <w:spacing w:after="120" w:line="360" w:lineRule="auto"/>
        <w:jc w:val="both"/>
        <w:rPr>
          <w:rFonts w:cstheme="minorHAnsi"/>
          <w:sz w:val="24"/>
          <w:szCs w:val="24"/>
        </w:rPr>
      </w:pPr>
      <w:r w:rsidRPr="009C2B3A">
        <w:rPr>
          <w:rFonts w:cstheme="minorHAnsi"/>
          <w:sz w:val="24"/>
          <w:szCs w:val="24"/>
        </w:rPr>
        <w:t xml:space="preserve">This section positions the emergence of Human Buffering within the broader higher education literature while establishing the need for a concept capable of explaining how academics navigate competing institutional and student demands. Rather than presenting Human Buffering as a predetermined theoretical construct, the literature review provides the contextual and conceptual foundations from which the concept emerged through practice and reflection. Existing scholarship offers valuable insights into the realities of higher education, practitioner inquiry, care, emotional labour, and Ubuntu. However, these perspectives </w:t>
      </w:r>
      <w:r w:rsidR="00E60893" w:rsidRPr="00E60893">
        <w:rPr>
          <w:rFonts w:cstheme="minorHAnsi"/>
          <w:sz w:val="24"/>
          <w:szCs w:val="24"/>
        </w:rPr>
        <w:t>offer limited explanation of the educational practices through which academics respond to competing demands in higher education contexts.</w:t>
      </w:r>
    </w:p>
    <w:p w14:paraId="32522C94" w14:textId="64D20DF7" w:rsidR="002D1E57" w:rsidRPr="0009420A" w:rsidRDefault="004551D6" w:rsidP="003E5A1C">
      <w:pPr>
        <w:spacing w:after="120" w:line="360" w:lineRule="auto"/>
        <w:jc w:val="both"/>
        <w:rPr>
          <w:rFonts w:cstheme="minorHAnsi"/>
          <w:sz w:val="24"/>
          <w:szCs w:val="24"/>
        </w:rPr>
      </w:pPr>
      <w:r w:rsidRPr="004551D6">
        <w:rPr>
          <w:rFonts w:cstheme="minorHAnsi"/>
          <w:b/>
          <w:bCs/>
          <w:sz w:val="24"/>
          <w:szCs w:val="24"/>
        </w:rPr>
        <w:t>2.1 Higher Education Context</w:t>
      </w:r>
    </w:p>
    <w:p w14:paraId="22C47640" w14:textId="072843E4" w:rsidR="00C13C85" w:rsidRPr="00C13C85" w:rsidRDefault="00C13C85" w:rsidP="00C13C85">
      <w:pPr>
        <w:spacing w:after="120" w:line="360" w:lineRule="auto"/>
        <w:jc w:val="both"/>
        <w:rPr>
          <w:rFonts w:cstheme="minorHAnsi"/>
          <w:sz w:val="24"/>
          <w:szCs w:val="24"/>
        </w:rPr>
      </w:pPr>
      <w:r w:rsidRPr="00C13C85">
        <w:rPr>
          <w:rFonts w:cstheme="minorHAnsi"/>
          <w:sz w:val="24"/>
          <w:szCs w:val="24"/>
        </w:rPr>
        <w:t xml:space="preserve">South African higher education continues to be shaped by the intersecting pressures of transformation, widening access, massification, accountability, and resource constraints. Since 1994, universities have been expected to contribute simultaneously to social justice, economic development, graduate production, knowledge generation, and institutional </w:t>
      </w:r>
      <w:r w:rsidRPr="00C13C85">
        <w:rPr>
          <w:rFonts w:cstheme="minorHAnsi"/>
          <w:sz w:val="24"/>
          <w:szCs w:val="24"/>
        </w:rPr>
        <w:lastRenderedPageBreak/>
        <w:t>transformation (Badat, 2010). While these objectives are important, they often generate competing demands for institutions and academics alike.</w:t>
      </w:r>
    </w:p>
    <w:p w14:paraId="255C798F" w14:textId="77777777" w:rsidR="00C13C85" w:rsidRPr="00C13C85" w:rsidRDefault="00C13C85" w:rsidP="00C13C85">
      <w:pPr>
        <w:spacing w:after="120" w:line="360" w:lineRule="auto"/>
        <w:jc w:val="both"/>
        <w:rPr>
          <w:rFonts w:cstheme="minorHAnsi"/>
          <w:sz w:val="24"/>
          <w:szCs w:val="24"/>
        </w:rPr>
      </w:pPr>
      <w:r w:rsidRPr="00C13C85">
        <w:rPr>
          <w:rFonts w:cstheme="minorHAnsi"/>
          <w:sz w:val="24"/>
          <w:szCs w:val="24"/>
        </w:rPr>
        <w:t>Universities of Technology occupy a distinctive position within this landscape. Historically oriented towards vocational and professional education, they have increasingly been expected to expand research outputs, postgraduate enrolments, community engagement activities, and innovation initiatives while continuing to provide access to students from historically disadvantaged backgrounds (CHE, 2015; Patel, 2024). The result is an environment characterised by growing complexity and heightened accountability pressures. Academics are required to maintain high student throughput rates, supervise postgraduate studies, publish research, engage communities, and contribute to quality assurance processes, frequently within contexts of limited resources and infrastructural constraints (Patel, 2024).</w:t>
      </w:r>
    </w:p>
    <w:p w14:paraId="6D3318E9" w14:textId="77777777" w:rsidR="00C13C85" w:rsidRPr="00C13C85" w:rsidRDefault="00C13C85" w:rsidP="00C13C85">
      <w:pPr>
        <w:spacing w:after="120" w:line="360" w:lineRule="auto"/>
        <w:jc w:val="both"/>
        <w:rPr>
          <w:rFonts w:cstheme="minorHAnsi"/>
          <w:sz w:val="24"/>
          <w:szCs w:val="24"/>
        </w:rPr>
      </w:pPr>
      <w:r w:rsidRPr="00C13C85">
        <w:rPr>
          <w:rFonts w:cstheme="minorHAnsi"/>
          <w:sz w:val="24"/>
          <w:szCs w:val="24"/>
        </w:rPr>
        <w:t xml:space="preserve">The challenge is further complicated by student massification. Increasing participation in higher education has undeniably expanded opportunities for many previously excluded groups. However, wider access has not necessarily translated into equitable conditions for success. Students entering universities often bring with them the consequences of unequal schooling, economic hardship, and social vulnerability (Boughey &amp; McKenna, 2021). My doctoral inquiry found that many students experienced poverty, food insecurity, inadequate accommodation, language barriers, uneven digital access, and varying levels of academic preparedness (Patel, 2024). Similar observations appeared in my earlier </w:t>
      </w:r>
      <w:proofErr w:type="spellStart"/>
      <w:r w:rsidRPr="00C13C85">
        <w:rPr>
          <w:rFonts w:cstheme="minorHAnsi"/>
          <w:sz w:val="24"/>
          <w:szCs w:val="24"/>
        </w:rPr>
        <w:t>PGDipHE</w:t>
      </w:r>
      <w:proofErr w:type="spellEnd"/>
      <w:r w:rsidRPr="00C13C85">
        <w:rPr>
          <w:rFonts w:cstheme="minorHAnsi"/>
          <w:sz w:val="24"/>
          <w:szCs w:val="24"/>
        </w:rPr>
        <w:t xml:space="preserve"> reflections, where under-preparedness, textbook shortages, and socio-economic hardship were identified as persistent barriers to learning (Patel, 2015).</w:t>
      </w:r>
    </w:p>
    <w:p w14:paraId="369BDA37" w14:textId="5B580DF4" w:rsidR="002D1E57" w:rsidRDefault="00C13C85" w:rsidP="00C13C85">
      <w:pPr>
        <w:spacing w:after="120" w:line="360" w:lineRule="auto"/>
        <w:jc w:val="both"/>
        <w:rPr>
          <w:rFonts w:cstheme="minorHAnsi"/>
          <w:sz w:val="24"/>
          <w:szCs w:val="24"/>
        </w:rPr>
      </w:pPr>
      <w:r w:rsidRPr="00C13C85">
        <w:rPr>
          <w:rFonts w:cstheme="minorHAnsi"/>
          <w:sz w:val="24"/>
          <w:szCs w:val="24"/>
        </w:rPr>
        <w:t xml:space="preserve">These realities create a persistent tension between institutional expectations and student circumstances. Universities require attendance, academic performance, progression, and completion, while many students operate within conditions that significantly constrain their participation. Consequently, academics often find themselves positioned between competing accountability pressures associated with institutional performance and responsibilities towards vulnerable students. </w:t>
      </w:r>
      <w:r w:rsidR="001E2C26" w:rsidRPr="001E2C26">
        <w:rPr>
          <w:rFonts w:cstheme="minorHAnsi"/>
          <w:sz w:val="24"/>
          <w:szCs w:val="24"/>
        </w:rPr>
        <w:t>These conditions create a complex environment within which professional judgement and educational action become increasingly significant.</w:t>
      </w:r>
    </w:p>
    <w:p w14:paraId="6272D7BB" w14:textId="77777777" w:rsidR="001E2C26" w:rsidRDefault="001E2C26" w:rsidP="003E5A1C">
      <w:pPr>
        <w:spacing w:after="120" w:line="360" w:lineRule="auto"/>
        <w:jc w:val="both"/>
        <w:rPr>
          <w:rFonts w:cstheme="minorHAnsi"/>
          <w:b/>
          <w:bCs/>
          <w:sz w:val="24"/>
          <w:szCs w:val="24"/>
        </w:rPr>
      </w:pPr>
    </w:p>
    <w:p w14:paraId="090BC3B5" w14:textId="77777777" w:rsidR="001E2C26" w:rsidRDefault="001E2C26" w:rsidP="003E5A1C">
      <w:pPr>
        <w:spacing w:after="120" w:line="360" w:lineRule="auto"/>
        <w:jc w:val="both"/>
        <w:rPr>
          <w:rFonts w:cstheme="minorHAnsi"/>
          <w:b/>
          <w:bCs/>
          <w:sz w:val="24"/>
          <w:szCs w:val="24"/>
        </w:rPr>
      </w:pPr>
    </w:p>
    <w:p w14:paraId="140F337E" w14:textId="6ACB01AA" w:rsidR="002D1E57" w:rsidRPr="00F84114" w:rsidRDefault="002D1E57" w:rsidP="003E5A1C">
      <w:pPr>
        <w:spacing w:after="120" w:line="360" w:lineRule="auto"/>
        <w:jc w:val="both"/>
        <w:rPr>
          <w:rFonts w:cstheme="minorHAnsi"/>
          <w:b/>
          <w:bCs/>
          <w:sz w:val="24"/>
          <w:szCs w:val="24"/>
        </w:rPr>
      </w:pPr>
      <w:r w:rsidRPr="00F84114">
        <w:rPr>
          <w:rFonts w:cstheme="minorHAnsi"/>
          <w:b/>
          <w:bCs/>
          <w:sz w:val="24"/>
          <w:szCs w:val="24"/>
        </w:rPr>
        <w:lastRenderedPageBreak/>
        <w:t xml:space="preserve">2.2 </w:t>
      </w:r>
      <w:r w:rsidR="00194A34" w:rsidRPr="00194A34">
        <w:rPr>
          <w:rFonts w:cstheme="minorHAnsi"/>
          <w:b/>
          <w:bCs/>
          <w:sz w:val="24"/>
          <w:szCs w:val="24"/>
        </w:rPr>
        <w:t>Living Theory</w:t>
      </w:r>
    </w:p>
    <w:p w14:paraId="5D6C7F65" w14:textId="77777777" w:rsidR="00194A34" w:rsidRPr="00194A34" w:rsidRDefault="00194A34" w:rsidP="00194A34">
      <w:pPr>
        <w:spacing w:after="120" w:line="360" w:lineRule="auto"/>
        <w:jc w:val="both"/>
        <w:rPr>
          <w:rFonts w:cstheme="minorHAnsi"/>
          <w:sz w:val="24"/>
          <w:szCs w:val="24"/>
        </w:rPr>
      </w:pPr>
      <w:r w:rsidRPr="00194A34">
        <w:rPr>
          <w:rFonts w:cstheme="minorHAnsi"/>
          <w:sz w:val="24"/>
          <w:szCs w:val="24"/>
        </w:rPr>
        <w:t>The conceptual foundation of this study is Living Theory, developed by Whitehead (1989; 2018) as a form of practitioner inquiry concerned with improving professional practice. Living Theory begins with the question, “How do I improve what I am doing?” Rather than treating practitioners as passive recipients of knowledge, it positions them as creators of explanations grounded in their own lived educational experiences.</w:t>
      </w:r>
    </w:p>
    <w:p w14:paraId="52D9DCBB" w14:textId="77777777" w:rsidR="00194A34" w:rsidRPr="00194A34" w:rsidRDefault="00194A34" w:rsidP="00194A34">
      <w:pPr>
        <w:spacing w:after="120" w:line="360" w:lineRule="auto"/>
        <w:jc w:val="both"/>
        <w:rPr>
          <w:rFonts w:cstheme="minorHAnsi"/>
          <w:sz w:val="24"/>
          <w:szCs w:val="24"/>
        </w:rPr>
      </w:pPr>
      <w:r w:rsidRPr="00194A34">
        <w:rPr>
          <w:rFonts w:cstheme="minorHAnsi"/>
          <w:sz w:val="24"/>
          <w:szCs w:val="24"/>
        </w:rPr>
        <w:t>A central concept within Living Theory is the notion of the living contradiction. This occurs when individuals hold values that are not fully realised within their practice because of organisational, social, structural, or contextual constraints. Recognising these contradictions becomes the starting point for reflection, inquiry, and improvement. For Whitehead (2018), professional knowledge emerges through the continuous process of identifying tensions, reflecting on actions, and seeking more congruent forms of practice.</w:t>
      </w:r>
    </w:p>
    <w:p w14:paraId="7197F0F0" w14:textId="46B91A9F" w:rsidR="002D1E57" w:rsidRDefault="00194A34" w:rsidP="00194A34">
      <w:pPr>
        <w:spacing w:after="120" w:line="360" w:lineRule="auto"/>
        <w:jc w:val="both"/>
        <w:rPr>
          <w:rFonts w:cstheme="minorHAnsi"/>
          <w:sz w:val="24"/>
          <w:szCs w:val="24"/>
        </w:rPr>
      </w:pPr>
      <w:r w:rsidRPr="00194A34">
        <w:rPr>
          <w:rFonts w:cstheme="minorHAnsi"/>
          <w:sz w:val="24"/>
          <w:szCs w:val="24"/>
        </w:rPr>
        <w:t xml:space="preserve">Living Theory is particularly relevant to higher education because it focuses on educational influence rather than simply educational activity. The key concern is not only what practitioners do, but how their actions influence their own learning, the learning of others, and the learning of wider social formations. Within this study, </w:t>
      </w:r>
      <w:r w:rsidR="009A4D43" w:rsidRPr="009A4D43">
        <w:rPr>
          <w:rFonts w:cstheme="minorHAnsi"/>
          <w:sz w:val="24"/>
          <w:szCs w:val="24"/>
        </w:rPr>
        <w:t>Living Theory provided a framework for tracing how professional learning and educational influence developed through sustained reflection on practice.</w:t>
      </w:r>
      <w:r w:rsidR="009A4D43">
        <w:rPr>
          <w:rFonts w:cstheme="minorHAnsi"/>
          <w:sz w:val="24"/>
          <w:szCs w:val="24"/>
        </w:rPr>
        <w:t xml:space="preserve"> </w:t>
      </w:r>
    </w:p>
    <w:p w14:paraId="6D031AE0" w14:textId="37719C02" w:rsidR="002D1E57" w:rsidRDefault="002D1E57" w:rsidP="003E5A1C">
      <w:pPr>
        <w:spacing w:after="120" w:line="360" w:lineRule="auto"/>
        <w:jc w:val="both"/>
        <w:rPr>
          <w:rFonts w:cstheme="minorHAnsi"/>
          <w:b/>
          <w:bCs/>
          <w:sz w:val="24"/>
          <w:szCs w:val="24"/>
        </w:rPr>
      </w:pPr>
      <w:r w:rsidRPr="00F84114">
        <w:rPr>
          <w:rFonts w:cstheme="minorHAnsi"/>
          <w:b/>
          <w:bCs/>
          <w:sz w:val="24"/>
          <w:szCs w:val="24"/>
        </w:rPr>
        <w:t xml:space="preserve">2.3 </w:t>
      </w:r>
      <w:r w:rsidR="00AE0AC0" w:rsidRPr="00AE0AC0">
        <w:rPr>
          <w:rFonts w:cstheme="minorHAnsi"/>
          <w:b/>
          <w:bCs/>
          <w:sz w:val="24"/>
          <w:szCs w:val="24"/>
        </w:rPr>
        <w:t>Care, Ubuntu and Emotional Labour</w:t>
      </w:r>
    </w:p>
    <w:p w14:paraId="2F824FA0" w14:textId="436AFD56" w:rsidR="00AE0AC0" w:rsidRPr="00F84114" w:rsidRDefault="00DF55B8" w:rsidP="003E5A1C">
      <w:pPr>
        <w:spacing w:after="120" w:line="360" w:lineRule="auto"/>
        <w:jc w:val="both"/>
        <w:rPr>
          <w:rFonts w:cstheme="minorHAnsi"/>
          <w:b/>
          <w:bCs/>
          <w:sz w:val="24"/>
          <w:szCs w:val="24"/>
        </w:rPr>
      </w:pPr>
      <w:r w:rsidRPr="00DF55B8">
        <w:rPr>
          <w:rFonts w:cstheme="minorHAnsi"/>
          <w:b/>
          <w:bCs/>
          <w:sz w:val="24"/>
          <w:szCs w:val="24"/>
        </w:rPr>
        <w:t>Care</w:t>
      </w:r>
    </w:p>
    <w:p w14:paraId="6D2D0468" w14:textId="77777777" w:rsidR="00DF55B8" w:rsidRPr="00DF55B8" w:rsidRDefault="00DF55B8" w:rsidP="00DF55B8">
      <w:pPr>
        <w:spacing w:after="120" w:line="360" w:lineRule="auto"/>
        <w:jc w:val="both"/>
        <w:rPr>
          <w:rFonts w:cstheme="minorHAnsi"/>
          <w:sz w:val="24"/>
          <w:szCs w:val="24"/>
        </w:rPr>
      </w:pPr>
      <w:r w:rsidRPr="00DF55B8">
        <w:rPr>
          <w:rFonts w:cstheme="minorHAnsi"/>
          <w:sz w:val="24"/>
          <w:szCs w:val="24"/>
        </w:rPr>
        <w:t xml:space="preserve">The ethics of care provides an important starting point for understanding educational relationships. </w:t>
      </w:r>
      <w:proofErr w:type="spellStart"/>
      <w:r w:rsidRPr="00DF55B8">
        <w:rPr>
          <w:rFonts w:cstheme="minorHAnsi"/>
          <w:sz w:val="24"/>
          <w:szCs w:val="24"/>
        </w:rPr>
        <w:t>Noddings</w:t>
      </w:r>
      <w:proofErr w:type="spellEnd"/>
      <w:r w:rsidRPr="00DF55B8">
        <w:rPr>
          <w:rFonts w:cstheme="minorHAnsi"/>
          <w:sz w:val="24"/>
          <w:szCs w:val="24"/>
        </w:rPr>
        <w:t xml:space="preserve"> (2013) argues that effective teaching involves relational responsiveness, attentiveness, and a genuine concern for the wellbeing of learners. From this perspective, education is not simply concerned with knowledge transmission but with recognising and responding to the needs of students as human beings.</w:t>
      </w:r>
    </w:p>
    <w:p w14:paraId="1DF7143C" w14:textId="77777777" w:rsidR="00DF55B8" w:rsidRPr="00DF55B8" w:rsidRDefault="00DF55B8" w:rsidP="00DF55B8">
      <w:pPr>
        <w:spacing w:after="120" w:line="360" w:lineRule="auto"/>
        <w:jc w:val="both"/>
        <w:rPr>
          <w:rFonts w:cstheme="minorHAnsi"/>
          <w:sz w:val="24"/>
          <w:szCs w:val="24"/>
        </w:rPr>
      </w:pPr>
      <w:r w:rsidRPr="00DF55B8">
        <w:rPr>
          <w:rFonts w:cstheme="minorHAnsi"/>
          <w:sz w:val="24"/>
          <w:szCs w:val="24"/>
        </w:rPr>
        <w:t>Within higher education, caring practices often become visible through academic support, mentorship, accessibility, encouragement, and responsiveness to student circumstances. Many of the practices described in this study resonate strongly with care-based approaches. Supporting students experiencing hardship, creating alternative pathways for participation, and responding to individual circumstances all reflect caring educational relationships.</w:t>
      </w:r>
    </w:p>
    <w:p w14:paraId="6EA9AE8F" w14:textId="09C54AE2" w:rsidR="002D1E57" w:rsidRDefault="00DF55B8" w:rsidP="00DF55B8">
      <w:pPr>
        <w:spacing w:after="120" w:line="360" w:lineRule="auto"/>
        <w:jc w:val="both"/>
        <w:rPr>
          <w:rFonts w:cstheme="minorHAnsi"/>
          <w:sz w:val="24"/>
          <w:szCs w:val="24"/>
        </w:rPr>
      </w:pPr>
      <w:r w:rsidRPr="00DF55B8">
        <w:rPr>
          <w:rFonts w:cstheme="minorHAnsi"/>
          <w:sz w:val="24"/>
          <w:szCs w:val="24"/>
        </w:rPr>
        <w:lastRenderedPageBreak/>
        <w:t xml:space="preserve">However, care on its own does not fully explain the work being examined here. While the literature on care emphasises responsiveness and relational support, it pays less attention to the institutional tensions and structural contradictions that academics must navigate. Care explains why support is provided but offers less insight </w:t>
      </w:r>
      <w:r w:rsidR="00AF6F20" w:rsidRPr="00AF6F20">
        <w:rPr>
          <w:rFonts w:cstheme="minorHAnsi"/>
          <w:sz w:val="24"/>
          <w:szCs w:val="24"/>
        </w:rPr>
        <w:t>into how practitioners respond to competing organisational and educational responsibilities.</w:t>
      </w:r>
    </w:p>
    <w:p w14:paraId="11290D53" w14:textId="77777777" w:rsidR="00961EA3" w:rsidRPr="00961EA3" w:rsidRDefault="00961EA3" w:rsidP="00961EA3">
      <w:pPr>
        <w:spacing w:after="120" w:line="360" w:lineRule="auto"/>
        <w:jc w:val="both"/>
        <w:rPr>
          <w:rFonts w:cstheme="minorHAnsi"/>
          <w:b/>
          <w:bCs/>
          <w:sz w:val="24"/>
          <w:szCs w:val="24"/>
        </w:rPr>
      </w:pPr>
      <w:r w:rsidRPr="00961EA3">
        <w:rPr>
          <w:rFonts w:cstheme="minorHAnsi"/>
          <w:b/>
          <w:bCs/>
          <w:sz w:val="24"/>
          <w:szCs w:val="24"/>
        </w:rPr>
        <w:t>Emotional Labour</w:t>
      </w:r>
    </w:p>
    <w:p w14:paraId="2CF31421" w14:textId="77777777" w:rsidR="00961EA3" w:rsidRPr="00961EA3" w:rsidRDefault="00961EA3" w:rsidP="00961EA3">
      <w:pPr>
        <w:spacing w:after="120" w:line="360" w:lineRule="auto"/>
        <w:jc w:val="both"/>
        <w:rPr>
          <w:rFonts w:cstheme="minorHAnsi"/>
          <w:sz w:val="24"/>
          <w:szCs w:val="24"/>
        </w:rPr>
      </w:pPr>
      <w:r w:rsidRPr="00961EA3">
        <w:rPr>
          <w:rFonts w:cstheme="minorHAnsi"/>
          <w:sz w:val="24"/>
          <w:szCs w:val="24"/>
        </w:rPr>
        <w:t>The concept of emotional labour, first developed by Hochschild (1983), provides another useful lens. Emotional labour refers to the management of emotions as part of professional work. Within higher education, academics frequently regulate their emotions while supporting distressed students, responding to institutional pressures, managing heavy workloads, and maintaining professional relationships (Kinman, 2001).</w:t>
      </w:r>
    </w:p>
    <w:p w14:paraId="41D70484" w14:textId="77777777" w:rsidR="00961EA3" w:rsidRPr="00961EA3" w:rsidRDefault="00961EA3" w:rsidP="00961EA3">
      <w:pPr>
        <w:spacing w:after="120" w:line="360" w:lineRule="auto"/>
        <w:jc w:val="both"/>
        <w:rPr>
          <w:rFonts w:cstheme="minorHAnsi"/>
          <w:sz w:val="24"/>
          <w:szCs w:val="24"/>
        </w:rPr>
      </w:pPr>
      <w:r w:rsidRPr="00961EA3">
        <w:rPr>
          <w:rFonts w:cstheme="minorHAnsi"/>
          <w:sz w:val="24"/>
          <w:szCs w:val="24"/>
        </w:rPr>
        <w:t>Academic work frequently requires patience, empathy, encouragement, resilience, and emotional regulation. These dimensions are particularly evident in contexts characterised by poverty, vulnerability, and uncertainty. Emotional labour therefore helps explain some of the personal costs associated with supporting students under challenging circumstances.</w:t>
      </w:r>
    </w:p>
    <w:p w14:paraId="39D0031F" w14:textId="2B56D5F7" w:rsidR="002D1E57" w:rsidRDefault="00961EA3" w:rsidP="00961EA3">
      <w:pPr>
        <w:spacing w:after="120" w:line="360" w:lineRule="auto"/>
        <w:jc w:val="both"/>
        <w:rPr>
          <w:rFonts w:cstheme="minorHAnsi"/>
          <w:sz w:val="24"/>
          <w:szCs w:val="24"/>
        </w:rPr>
      </w:pPr>
      <w:r w:rsidRPr="00961EA3">
        <w:rPr>
          <w:rFonts w:cstheme="minorHAnsi"/>
          <w:sz w:val="24"/>
          <w:szCs w:val="24"/>
        </w:rPr>
        <w:t xml:space="preserve">Nevertheless, emotional labour remains focused primarily on the affective dimensions of practice. Although it explains how academics manage emotional demands, it does not fully account for the broader educational, organisational, and relational processes involved in mediating competing expectations. The </w:t>
      </w:r>
      <w:r w:rsidR="00C23FDF" w:rsidRPr="00C23FDF">
        <w:rPr>
          <w:rFonts w:cstheme="minorHAnsi"/>
          <w:sz w:val="24"/>
          <w:szCs w:val="24"/>
        </w:rPr>
        <w:t>focus remains largely on emotional regulation rather than broader educational practice.</w:t>
      </w:r>
    </w:p>
    <w:p w14:paraId="7C147C52" w14:textId="68BD5AEC" w:rsidR="002D1E57" w:rsidRPr="00F84114" w:rsidRDefault="002D1E57" w:rsidP="003E5A1C">
      <w:pPr>
        <w:spacing w:after="120" w:line="360" w:lineRule="auto"/>
        <w:jc w:val="both"/>
        <w:rPr>
          <w:rFonts w:cstheme="minorHAnsi"/>
          <w:b/>
          <w:bCs/>
          <w:sz w:val="24"/>
          <w:szCs w:val="24"/>
        </w:rPr>
      </w:pPr>
      <w:r w:rsidRPr="00F84114">
        <w:rPr>
          <w:rFonts w:cstheme="minorHAnsi"/>
          <w:b/>
          <w:bCs/>
          <w:sz w:val="24"/>
          <w:szCs w:val="24"/>
        </w:rPr>
        <w:t>Ubuntu</w:t>
      </w:r>
      <w:r w:rsidR="004E3BAF">
        <w:rPr>
          <w:rFonts w:cstheme="minorHAnsi"/>
          <w:b/>
          <w:bCs/>
          <w:sz w:val="24"/>
          <w:szCs w:val="24"/>
        </w:rPr>
        <w:t xml:space="preserve"> </w:t>
      </w:r>
    </w:p>
    <w:p w14:paraId="2DBD2786" w14:textId="77777777" w:rsidR="00196816" w:rsidRPr="00196816" w:rsidRDefault="00196816" w:rsidP="00196816">
      <w:pPr>
        <w:spacing w:after="120" w:line="360" w:lineRule="auto"/>
        <w:jc w:val="both"/>
        <w:rPr>
          <w:rFonts w:cstheme="minorHAnsi"/>
          <w:sz w:val="24"/>
          <w:szCs w:val="24"/>
        </w:rPr>
      </w:pPr>
      <w:r w:rsidRPr="00196816">
        <w:rPr>
          <w:rFonts w:cstheme="minorHAnsi"/>
          <w:sz w:val="24"/>
          <w:szCs w:val="24"/>
        </w:rPr>
        <w:t>Ubuntu offers a particularly relevant African perspective for understanding educational relationships within South African higher education contexts. Ubuntu is commonly associated with relational humanity, mutual care, dignity, interconnectedness, and the recognition that individual wellbeing is inseparable from the wellbeing of others (</w:t>
      </w:r>
      <w:proofErr w:type="spellStart"/>
      <w:r w:rsidRPr="00196816">
        <w:rPr>
          <w:rFonts w:cstheme="minorHAnsi"/>
          <w:sz w:val="24"/>
          <w:szCs w:val="24"/>
        </w:rPr>
        <w:t>Letseka</w:t>
      </w:r>
      <w:proofErr w:type="spellEnd"/>
      <w:r w:rsidRPr="00196816">
        <w:rPr>
          <w:rFonts w:cstheme="minorHAnsi"/>
          <w:sz w:val="24"/>
          <w:szCs w:val="24"/>
        </w:rPr>
        <w:t>, 2012). The often-cited expression “</w:t>
      </w:r>
      <w:r w:rsidRPr="00DD0B2D">
        <w:rPr>
          <w:rFonts w:cstheme="minorHAnsi"/>
          <w:i/>
          <w:iCs/>
          <w:sz w:val="24"/>
          <w:szCs w:val="24"/>
        </w:rPr>
        <w:t>a person is a person through other persons</w:t>
      </w:r>
      <w:r w:rsidRPr="00196816">
        <w:rPr>
          <w:rFonts w:cstheme="minorHAnsi"/>
          <w:sz w:val="24"/>
          <w:szCs w:val="24"/>
        </w:rPr>
        <w:t>” captures the fundamentally relational nature of this worldview.</w:t>
      </w:r>
    </w:p>
    <w:p w14:paraId="7CC34E26" w14:textId="77777777" w:rsidR="00196816" w:rsidRPr="00196816" w:rsidRDefault="00196816" w:rsidP="00196816">
      <w:pPr>
        <w:spacing w:after="120" w:line="360" w:lineRule="auto"/>
        <w:jc w:val="both"/>
        <w:rPr>
          <w:rFonts w:cstheme="minorHAnsi"/>
          <w:sz w:val="24"/>
          <w:szCs w:val="24"/>
        </w:rPr>
      </w:pPr>
      <w:r w:rsidRPr="00196816">
        <w:rPr>
          <w:rFonts w:cstheme="minorHAnsi"/>
          <w:sz w:val="24"/>
          <w:szCs w:val="24"/>
        </w:rPr>
        <w:t xml:space="preserve">Educationally, Ubuntu encourages practices grounded in compassion, respect, responsibility, inclusion, and social connectedness. It provides a moral orientation that resonates strongly </w:t>
      </w:r>
      <w:r w:rsidRPr="00196816">
        <w:rPr>
          <w:rFonts w:cstheme="minorHAnsi"/>
          <w:sz w:val="24"/>
          <w:szCs w:val="24"/>
        </w:rPr>
        <w:lastRenderedPageBreak/>
        <w:t>with many of the values evident in this study, particularly those associated with dignity, responsiveness, support, and community.</w:t>
      </w:r>
    </w:p>
    <w:p w14:paraId="0C2429A7" w14:textId="79AFAECB" w:rsidR="00196816" w:rsidRPr="00196816" w:rsidRDefault="00196816" w:rsidP="00196816">
      <w:pPr>
        <w:spacing w:after="120" w:line="360" w:lineRule="auto"/>
        <w:jc w:val="both"/>
        <w:rPr>
          <w:rFonts w:cstheme="minorHAnsi"/>
          <w:sz w:val="24"/>
          <w:szCs w:val="24"/>
        </w:rPr>
      </w:pPr>
      <w:r w:rsidRPr="00196816">
        <w:rPr>
          <w:rFonts w:cstheme="minorHAnsi"/>
          <w:sz w:val="24"/>
          <w:szCs w:val="24"/>
        </w:rPr>
        <w:t xml:space="preserve">However, Ubuntu functions primarily as a value framework rather than an operational explanation of practice. It helps explain the ethical orientation underpinning actions but provides less detail regarding the processes through which academics navigate tensions between institutional expectations and student realities. While Ubuntu reveals the values informing these responses, it </w:t>
      </w:r>
      <w:r w:rsidR="008B37D0" w:rsidRPr="008B37D0">
        <w:rPr>
          <w:rFonts w:cstheme="minorHAnsi"/>
          <w:sz w:val="24"/>
          <w:szCs w:val="24"/>
        </w:rPr>
        <w:t>does not fully explain how values become enacted within everyday educational practice.</w:t>
      </w:r>
    </w:p>
    <w:p w14:paraId="60AC4A63" w14:textId="654B063F" w:rsidR="002D1E57" w:rsidRPr="0009420A" w:rsidRDefault="00196816" w:rsidP="00196816">
      <w:pPr>
        <w:spacing w:after="120" w:line="360" w:lineRule="auto"/>
        <w:jc w:val="both"/>
        <w:rPr>
          <w:rFonts w:cstheme="minorHAnsi"/>
          <w:sz w:val="24"/>
          <w:szCs w:val="24"/>
        </w:rPr>
      </w:pPr>
      <w:r w:rsidRPr="00196816">
        <w:rPr>
          <w:rFonts w:cstheme="minorHAnsi"/>
          <w:sz w:val="24"/>
          <w:szCs w:val="24"/>
        </w:rPr>
        <w:t>Collectively, care, emotional labour, and Ubuntu provide important conceptual foundations for understanding educational practice. Yet none adequately explains the recurring pattern of mediation that emerged in response to conflicting practices. This conceptual gap creates space for the emergence of Human Buffering as a practitioner-generated explanation of how academics respond when institutional demands and student realities collide.</w:t>
      </w:r>
    </w:p>
    <w:p w14:paraId="6401D0A1" w14:textId="489BC84E" w:rsidR="002D1E57" w:rsidRPr="00F84114" w:rsidRDefault="002D1E57" w:rsidP="003E5A1C">
      <w:pPr>
        <w:spacing w:after="120" w:line="360" w:lineRule="auto"/>
        <w:jc w:val="both"/>
        <w:rPr>
          <w:rFonts w:cstheme="minorHAnsi"/>
          <w:b/>
          <w:bCs/>
          <w:sz w:val="24"/>
          <w:szCs w:val="24"/>
        </w:rPr>
      </w:pPr>
      <w:r w:rsidRPr="00F84114">
        <w:rPr>
          <w:rFonts w:cstheme="minorHAnsi"/>
          <w:b/>
          <w:bCs/>
          <w:sz w:val="24"/>
          <w:szCs w:val="24"/>
        </w:rPr>
        <w:t>2.</w:t>
      </w:r>
      <w:r w:rsidR="006A7C5D">
        <w:rPr>
          <w:rFonts w:cstheme="minorHAnsi"/>
          <w:b/>
          <w:bCs/>
          <w:sz w:val="24"/>
          <w:szCs w:val="24"/>
        </w:rPr>
        <w:t>4</w:t>
      </w:r>
      <w:r w:rsidRPr="00F84114">
        <w:rPr>
          <w:rFonts w:cstheme="minorHAnsi"/>
          <w:b/>
          <w:bCs/>
          <w:sz w:val="24"/>
          <w:szCs w:val="24"/>
        </w:rPr>
        <w:t xml:space="preserve"> </w:t>
      </w:r>
      <w:r w:rsidR="008F5A18" w:rsidRPr="008F5A18">
        <w:rPr>
          <w:rFonts w:cstheme="minorHAnsi"/>
          <w:b/>
          <w:bCs/>
          <w:sz w:val="24"/>
          <w:szCs w:val="24"/>
        </w:rPr>
        <w:t>Academic Identity and Mediation</w:t>
      </w:r>
    </w:p>
    <w:p w14:paraId="55C857ED" w14:textId="77777777" w:rsidR="00B1543D" w:rsidRPr="00B1543D" w:rsidRDefault="00B1543D" w:rsidP="00B1543D">
      <w:pPr>
        <w:spacing w:after="120" w:line="360" w:lineRule="auto"/>
        <w:jc w:val="both"/>
        <w:rPr>
          <w:rFonts w:cstheme="minorHAnsi"/>
          <w:sz w:val="24"/>
          <w:szCs w:val="24"/>
        </w:rPr>
      </w:pPr>
      <w:r w:rsidRPr="00B1543D">
        <w:rPr>
          <w:rFonts w:cstheme="minorHAnsi"/>
          <w:sz w:val="24"/>
          <w:szCs w:val="24"/>
        </w:rPr>
        <w:t>Academic identity is neither fixed nor solely defined by disciplinary expertise. Rather, it is shaped continuously through interaction with students, colleagues, institutional structures, policies, and broader societal expectations (Leibowitz, 2012; Barkhuizen, 2017). Within contemporary higher education, academics are expected to function simultaneously as teachers, researchers, mentors, supervisors, administrators, and agents of transformation. These multiple roles often generate tensions that require continuous negotiation and adaptation.</w:t>
      </w:r>
    </w:p>
    <w:p w14:paraId="5770A5D4" w14:textId="77777777" w:rsidR="00B1543D" w:rsidRPr="00B1543D" w:rsidRDefault="00B1543D" w:rsidP="00B1543D">
      <w:pPr>
        <w:spacing w:after="120" w:line="360" w:lineRule="auto"/>
        <w:jc w:val="both"/>
        <w:rPr>
          <w:rFonts w:cstheme="minorHAnsi"/>
          <w:sz w:val="24"/>
          <w:szCs w:val="24"/>
        </w:rPr>
      </w:pPr>
      <w:r w:rsidRPr="00B1543D">
        <w:rPr>
          <w:rFonts w:cstheme="minorHAnsi"/>
          <w:sz w:val="24"/>
          <w:szCs w:val="24"/>
        </w:rPr>
        <w:t>Agency becomes significant within such contexts because academics are not passive recipients of institutional mandates. Instead, they actively interpret, negotiate, and respond to the competing demands placed upon them. Through professional judgement, reflection, and action, academics make decisions about how best to balance institutional expectations with student needs and educational values. The exercise of agency is particularly important where organisational policies, resource constraints, and student circumstances create conditions that cannot be resolved through procedural compliance alone.</w:t>
      </w:r>
    </w:p>
    <w:p w14:paraId="093029AC" w14:textId="77777777" w:rsidR="00B1543D" w:rsidRPr="00B1543D" w:rsidRDefault="00B1543D" w:rsidP="00B1543D">
      <w:pPr>
        <w:spacing w:after="120" w:line="360" w:lineRule="auto"/>
        <w:jc w:val="both"/>
        <w:rPr>
          <w:rFonts w:cstheme="minorHAnsi"/>
          <w:sz w:val="24"/>
          <w:szCs w:val="24"/>
        </w:rPr>
      </w:pPr>
      <w:r w:rsidRPr="00B1543D">
        <w:rPr>
          <w:rFonts w:cstheme="minorHAnsi"/>
          <w:sz w:val="24"/>
          <w:szCs w:val="24"/>
        </w:rPr>
        <w:t xml:space="preserve">The concept of mediation offers a useful lens for understanding this work. Mediation involves connecting, translating, negotiating, and reconciling competing positions in ways that enable </w:t>
      </w:r>
      <w:r w:rsidRPr="00B1543D">
        <w:rPr>
          <w:rFonts w:cstheme="minorHAnsi"/>
          <w:sz w:val="24"/>
          <w:szCs w:val="24"/>
        </w:rPr>
        <w:lastRenderedPageBreak/>
        <w:t>continued participation and progress. In educational contexts, mediation may occur between policy and practice, curriculum requirements and student preparedness, institutional expectations and student realities. While literature on academic identity acknowledges agency and professional judgement, it provides limited explanation of the specific practices through which academics mediate these tensions in their daily work.</w:t>
      </w:r>
    </w:p>
    <w:p w14:paraId="4C747DCA" w14:textId="6BC8D6F7" w:rsidR="002D1E57" w:rsidRDefault="00B1543D" w:rsidP="00B1543D">
      <w:pPr>
        <w:spacing w:after="120" w:line="360" w:lineRule="auto"/>
        <w:jc w:val="both"/>
        <w:rPr>
          <w:rFonts w:cstheme="minorHAnsi"/>
          <w:sz w:val="24"/>
          <w:szCs w:val="24"/>
        </w:rPr>
      </w:pPr>
      <w:r w:rsidRPr="00B1543D">
        <w:rPr>
          <w:rFonts w:cstheme="minorHAnsi"/>
          <w:sz w:val="24"/>
          <w:szCs w:val="24"/>
        </w:rPr>
        <w:t>The analysis undertaken in this study suggests that a recurring form of values-based mediation operates within higher education practice. It is this recurring pattern that ultimately contributed to the emergence of Human Buffering as a conceptual explanation for how academics respond to conflicting demands while seeking to preserve educational possibility.</w:t>
      </w:r>
    </w:p>
    <w:p w14:paraId="73013EEB" w14:textId="77777777" w:rsidR="00171251" w:rsidRPr="00171251" w:rsidRDefault="00171251" w:rsidP="00171251">
      <w:pPr>
        <w:spacing w:after="120" w:line="360" w:lineRule="auto"/>
        <w:jc w:val="both"/>
        <w:rPr>
          <w:rFonts w:cstheme="minorHAnsi"/>
          <w:b/>
          <w:bCs/>
          <w:sz w:val="24"/>
          <w:szCs w:val="24"/>
        </w:rPr>
      </w:pPr>
      <w:r w:rsidRPr="00171251">
        <w:rPr>
          <w:rFonts w:cstheme="minorHAnsi"/>
          <w:b/>
          <w:bCs/>
          <w:sz w:val="24"/>
          <w:szCs w:val="24"/>
        </w:rPr>
        <w:t>2.5 Identified Conceptual Gap</w:t>
      </w:r>
    </w:p>
    <w:p w14:paraId="3766D01E" w14:textId="193228F3" w:rsidR="00684BAC" w:rsidRPr="0009420A" w:rsidRDefault="00171251" w:rsidP="00171251">
      <w:pPr>
        <w:spacing w:after="120" w:line="360" w:lineRule="auto"/>
        <w:jc w:val="both"/>
        <w:rPr>
          <w:rFonts w:cstheme="minorHAnsi"/>
          <w:sz w:val="24"/>
          <w:szCs w:val="24"/>
        </w:rPr>
      </w:pPr>
      <w:r w:rsidRPr="00171251">
        <w:rPr>
          <w:rFonts w:cstheme="minorHAnsi"/>
          <w:sz w:val="24"/>
          <w:szCs w:val="24"/>
        </w:rPr>
        <w:t>The preceding discussion demonstrates that existing concepts provide important but partial explanations of educational practice within complex higher education environments. Care explains responsiveness to students, emotional labour highlights the management of affective demands, academic identity provides insight into professional self-understanding, and Ubuntu offers an ethical framework grounded in dignity and relationality. However, none fully explains how academics actively mediate competing institutional and student demands in practice.</w:t>
      </w:r>
    </w:p>
    <w:p w14:paraId="0A007F65" w14:textId="77777777" w:rsidR="00171251" w:rsidRPr="00171251" w:rsidRDefault="00171251" w:rsidP="00171251">
      <w:pPr>
        <w:spacing w:after="0" w:line="300" w:lineRule="atLeast"/>
        <w:rPr>
          <w:rFonts w:cstheme="minorHAnsi"/>
          <w:b/>
          <w:bCs/>
          <w:sz w:val="24"/>
          <w:szCs w:val="24"/>
        </w:rPr>
      </w:pPr>
      <w:r w:rsidRPr="00171251">
        <w:rPr>
          <w:rFonts w:cstheme="minorHAnsi"/>
          <w:b/>
          <w:bCs/>
          <w:sz w:val="24"/>
          <w:szCs w:val="24"/>
        </w:rPr>
        <w:t>Table 1: Conceptual Foundations and Identified Gap</w:t>
      </w:r>
    </w:p>
    <w:p w14:paraId="3D593E31" w14:textId="77777777" w:rsidR="00171251" w:rsidRDefault="00171251" w:rsidP="003E5A1C">
      <w:pPr>
        <w:spacing w:after="120" w:line="360" w:lineRule="auto"/>
        <w:jc w:val="both"/>
      </w:pPr>
    </w:p>
    <w:tbl>
      <w:tblPr>
        <w:tblStyle w:val="TableGrid"/>
        <w:tblW w:w="0" w:type="auto"/>
        <w:tblLook w:val="04A0" w:firstRow="1" w:lastRow="0" w:firstColumn="1" w:lastColumn="0" w:noHBand="0" w:noVBand="1"/>
      </w:tblPr>
      <w:tblGrid>
        <w:gridCol w:w="1538"/>
        <w:gridCol w:w="4291"/>
        <w:gridCol w:w="3187"/>
      </w:tblGrid>
      <w:tr w:rsidR="0064397F" w:rsidRPr="0064397F" w14:paraId="24D854CD" w14:textId="77777777" w:rsidTr="0064397F">
        <w:tc>
          <w:tcPr>
            <w:tcW w:w="0" w:type="auto"/>
            <w:hideMark/>
          </w:tcPr>
          <w:p w14:paraId="01CE23DA" w14:textId="77777777" w:rsidR="0064397F" w:rsidRPr="0064397F" w:rsidRDefault="0064397F" w:rsidP="0064397F">
            <w:pPr>
              <w:spacing w:after="120" w:line="360" w:lineRule="auto"/>
              <w:jc w:val="both"/>
              <w:rPr>
                <w:b/>
                <w:bCs/>
                <w:sz w:val="24"/>
                <w:szCs w:val="24"/>
              </w:rPr>
            </w:pPr>
            <w:r w:rsidRPr="0064397F">
              <w:rPr>
                <w:b/>
                <w:bCs/>
                <w:sz w:val="24"/>
                <w:szCs w:val="24"/>
              </w:rPr>
              <w:t>Concept</w:t>
            </w:r>
          </w:p>
        </w:tc>
        <w:tc>
          <w:tcPr>
            <w:tcW w:w="0" w:type="auto"/>
            <w:hideMark/>
          </w:tcPr>
          <w:p w14:paraId="5C421512" w14:textId="77777777" w:rsidR="0064397F" w:rsidRPr="0064397F" w:rsidRDefault="0064397F" w:rsidP="0064397F">
            <w:pPr>
              <w:spacing w:after="120" w:line="360" w:lineRule="auto"/>
              <w:jc w:val="both"/>
              <w:rPr>
                <w:b/>
                <w:bCs/>
                <w:sz w:val="24"/>
                <w:szCs w:val="24"/>
              </w:rPr>
            </w:pPr>
            <w:r w:rsidRPr="0064397F">
              <w:rPr>
                <w:b/>
                <w:bCs/>
                <w:sz w:val="24"/>
                <w:szCs w:val="24"/>
              </w:rPr>
              <w:t>Contribution</w:t>
            </w:r>
          </w:p>
        </w:tc>
        <w:tc>
          <w:tcPr>
            <w:tcW w:w="0" w:type="auto"/>
            <w:hideMark/>
          </w:tcPr>
          <w:p w14:paraId="6E2F3A31" w14:textId="77777777" w:rsidR="0064397F" w:rsidRPr="0064397F" w:rsidRDefault="0064397F" w:rsidP="0064397F">
            <w:pPr>
              <w:spacing w:after="120" w:line="360" w:lineRule="auto"/>
              <w:jc w:val="both"/>
              <w:rPr>
                <w:b/>
                <w:bCs/>
                <w:sz w:val="24"/>
                <w:szCs w:val="24"/>
              </w:rPr>
            </w:pPr>
            <w:r w:rsidRPr="0064397F">
              <w:rPr>
                <w:b/>
                <w:bCs/>
                <w:sz w:val="24"/>
                <w:szCs w:val="24"/>
              </w:rPr>
              <w:t>Limitation</w:t>
            </w:r>
          </w:p>
        </w:tc>
      </w:tr>
      <w:tr w:rsidR="0064397F" w:rsidRPr="0064397F" w14:paraId="4C7B2B17" w14:textId="77777777" w:rsidTr="0064397F">
        <w:tc>
          <w:tcPr>
            <w:tcW w:w="0" w:type="auto"/>
            <w:hideMark/>
          </w:tcPr>
          <w:p w14:paraId="1A39FEA3" w14:textId="77777777" w:rsidR="0064397F" w:rsidRPr="0064397F" w:rsidRDefault="0064397F" w:rsidP="0064397F">
            <w:pPr>
              <w:spacing w:after="120" w:line="360" w:lineRule="auto"/>
              <w:jc w:val="both"/>
              <w:rPr>
                <w:sz w:val="24"/>
                <w:szCs w:val="24"/>
              </w:rPr>
            </w:pPr>
            <w:r w:rsidRPr="0064397F">
              <w:rPr>
                <w:sz w:val="24"/>
                <w:szCs w:val="24"/>
              </w:rPr>
              <w:t>Care</w:t>
            </w:r>
          </w:p>
        </w:tc>
        <w:tc>
          <w:tcPr>
            <w:tcW w:w="0" w:type="auto"/>
            <w:hideMark/>
          </w:tcPr>
          <w:p w14:paraId="3DEA759A" w14:textId="77777777" w:rsidR="0064397F" w:rsidRPr="0064397F" w:rsidRDefault="0064397F" w:rsidP="0064397F">
            <w:pPr>
              <w:spacing w:after="120" w:line="360" w:lineRule="auto"/>
              <w:jc w:val="both"/>
              <w:rPr>
                <w:sz w:val="24"/>
                <w:szCs w:val="24"/>
              </w:rPr>
            </w:pPr>
            <w:r w:rsidRPr="0064397F">
              <w:rPr>
                <w:sz w:val="24"/>
                <w:szCs w:val="24"/>
              </w:rPr>
              <w:t>Emphasises support, responsiveness, and relational engagement</w:t>
            </w:r>
          </w:p>
        </w:tc>
        <w:tc>
          <w:tcPr>
            <w:tcW w:w="0" w:type="auto"/>
            <w:hideMark/>
          </w:tcPr>
          <w:p w14:paraId="66AE6C3C" w14:textId="77777777" w:rsidR="0064397F" w:rsidRPr="0064397F" w:rsidRDefault="0064397F" w:rsidP="0064397F">
            <w:pPr>
              <w:spacing w:after="120" w:line="360" w:lineRule="auto"/>
              <w:jc w:val="both"/>
              <w:rPr>
                <w:sz w:val="24"/>
                <w:szCs w:val="24"/>
              </w:rPr>
            </w:pPr>
            <w:r w:rsidRPr="0064397F">
              <w:rPr>
                <w:sz w:val="24"/>
                <w:szCs w:val="24"/>
              </w:rPr>
              <w:t>Limited focus on institutional tensions and mediation</w:t>
            </w:r>
          </w:p>
        </w:tc>
      </w:tr>
      <w:tr w:rsidR="0064397F" w:rsidRPr="0064397F" w14:paraId="3E3D3E45" w14:textId="77777777" w:rsidTr="0064397F">
        <w:tc>
          <w:tcPr>
            <w:tcW w:w="0" w:type="auto"/>
            <w:hideMark/>
          </w:tcPr>
          <w:p w14:paraId="2C30DD69" w14:textId="77777777" w:rsidR="0064397F" w:rsidRPr="0064397F" w:rsidRDefault="0064397F" w:rsidP="0064397F">
            <w:pPr>
              <w:spacing w:after="120" w:line="360" w:lineRule="auto"/>
              <w:jc w:val="both"/>
              <w:rPr>
                <w:sz w:val="24"/>
                <w:szCs w:val="24"/>
              </w:rPr>
            </w:pPr>
            <w:r w:rsidRPr="0064397F">
              <w:rPr>
                <w:sz w:val="24"/>
                <w:szCs w:val="24"/>
              </w:rPr>
              <w:t>Emotional Labour</w:t>
            </w:r>
          </w:p>
        </w:tc>
        <w:tc>
          <w:tcPr>
            <w:tcW w:w="0" w:type="auto"/>
            <w:hideMark/>
          </w:tcPr>
          <w:p w14:paraId="69AAC6A1" w14:textId="77777777" w:rsidR="0064397F" w:rsidRPr="0064397F" w:rsidRDefault="0064397F" w:rsidP="0064397F">
            <w:pPr>
              <w:spacing w:after="120" w:line="360" w:lineRule="auto"/>
              <w:jc w:val="both"/>
              <w:rPr>
                <w:sz w:val="24"/>
                <w:szCs w:val="24"/>
              </w:rPr>
            </w:pPr>
            <w:r w:rsidRPr="0064397F">
              <w:rPr>
                <w:sz w:val="24"/>
                <w:szCs w:val="24"/>
              </w:rPr>
              <w:t>Explains management of emotional demands and pressures</w:t>
            </w:r>
          </w:p>
        </w:tc>
        <w:tc>
          <w:tcPr>
            <w:tcW w:w="0" w:type="auto"/>
            <w:hideMark/>
          </w:tcPr>
          <w:p w14:paraId="57930540" w14:textId="77777777" w:rsidR="0064397F" w:rsidRPr="0064397F" w:rsidRDefault="0064397F" w:rsidP="0064397F">
            <w:pPr>
              <w:spacing w:after="120" w:line="360" w:lineRule="auto"/>
              <w:jc w:val="both"/>
              <w:rPr>
                <w:sz w:val="24"/>
                <w:szCs w:val="24"/>
              </w:rPr>
            </w:pPr>
            <w:r w:rsidRPr="0064397F">
              <w:rPr>
                <w:sz w:val="24"/>
                <w:szCs w:val="24"/>
              </w:rPr>
              <w:t>Limited attention to educational mediation processes</w:t>
            </w:r>
          </w:p>
        </w:tc>
      </w:tr>
      <w:tr w:rsidR="0064397F" w:rsidRPr="0064397F" w14:paraId="3A439CA8" w14:textId="77777777" w:rsidTr="0064397F">
        <w:tc>
          <w:tcPr>
            <w:tcW w:w="0" w:type="auto"/>
            <w:hideMark/>
          </w:tcPr>
          <w:p w14:paraId="4E8AA49F" w14:textId="77777777" w:rsidR="0064397F" w:rsidRPr="0064397F" w:rsidRDefault="0064397F" w:rsidP="0064397F">
            <w:pPr>
              <w:spacing w:after="120" w:line="360" w:lineRule="auto"/>
              <w:jc w:val="both"/>
              <w:rPr>
                <w:sz w:val="24"/>
                <w:szCs w:val="24"/>
              </w:rPr>
            </w:pPr>
            <w:r w:rsidRPr="0064397F">
              <w:rPr>
                <w:sz w:val="24"/>
                <w:szCs w:val="24"/>
              </w:rPr>
              <w:t>Academic Identity</w:t>
            </w:r>
          </w:p>
        </w:tc>
        <w:tc>
          <w:tcPr>
            <w:tcW w:w="0" w:type="auto"/>
            <w:hideMark/>
          </w:tcPr>
          <w:p w14:paraId="37DA5382" w14:textId="77777777" w:rsidR="0064397F" w:rsidRPr="0064397F" w:rsidRDefault="0064397F" w:rsidP="0064397F">
            <w:pPr>
              <w:spacing w:after="120" w:line="360" w:lineRule="auto"/>
              <w:jc w:val="both"/>
              <w:rPr>
                <w:sz w:val="24"/>
                <w:szCs w:val="24"/>
              </w:rPr>
            </w:pPr>
            <w:r w:rsidRPr="0064397F">
              <w:rPr>
                <w:sz w:val="24"/>
                <w:szCs w:val="24"/>
              </w:rPr>
              <w:t>Explains professional self-understanding and agency</w:t>
            </w:r>
          </w:p>
        </w:tc>
        <w:tc>
          <w:tcPr>
            <w:tcW w:w="0" w:type="auto"/>
            <w:hideMark/>
          </w:tcPr>
          <w:p w14:paraId="4DC283B5" w14:textId="77777777" w:rsidR="0064397F" w:rsidRPr="0064397F" w:rsidRDefault="0064397F" w:rsidP="0064397F">
            <w:pPr>
              <w:spacing w:after="120" w:line="360" w:lineRule="auto"/>
              <w:jc w:val="both"/>
              <w:rPr>
                <w:sz w:val="24"/>
                <w:szCs w:val="24"/>
              </w:rPr>
            </w:pPr>
            <w:r w:rsidRPr="0064397F">
              <w:rPr>
                <w:sz w:val="24"/>
                <w:szCs w:val="24"/>
              </w:rPr>
              <w:t>Less explanatory of everyday mediating practices</w:t>
            </w:r>
          </w:p>
        </w:tc>
      </w:tr>
      <w:tr w:rsidR="0064397F" w:rsidRPr="0064397F" w14:paraId="2AD1F534" w14:textId="77777777" w:rsidTr="0064397F">
        <w:tc>
          <w:tcPr>
            <w:tcW w:w="0" w:type="auto"/>
            <w:hideMark/>
          </w:tcPr>
          <w:p w14:paraId="4EDDB412" w14:textId="77777777" w:rsidR="0064397F" w:rsidRPr="0064397F" w:rsidRDefault="0064397F" w:rsidP="0064397F">
            <w:pPr>
              <w:spacing w:after="120" w:line="360" w:lineRule="auto"/>
              <w:jc w:val="both"/>
              <w:rPr>
                <w:sz w:val="24"/>
                <w:szCs w:val="24"/>
              </w:rPr>
            </w:pPr>
            <w:r w:rsidRPr="0064397F">
              <w:rPr>
                <w:sz w:val="24"/>
                <w:szCs w:val="24"/>
              </w:rPr>
              <w:t>Ubuntu</w:t>
            </w:r>
          </w:p>
        </w:tc>
        <w:tc>
          <w:tcPr>
            <w:tcW w:w="0" w:type="auto"/>
            <w:hideMark/>
          </w:tcPr>
          <w:p w14:paraId="2A51E49E" w14:textId="77777777" w:rsidR="0064397F" w:rsidRPr="0064397F" w:rsidRDefault="0064397F" w:rsidP="0064397F">
            <w:pPr>
              <w:spacing w:after="120" w:line="360" w:lineRule="auto"/>
              <w:jc w:val="both"/>
              <w:rPr>
                <w:sz w:val="24"/>
                <w:szCs w:val="24"/>
              </w:rPr>
            </w:pPr>
            <w:r w:rsidRPr="0064397F">
              <w:rPr>
                <w:sz w:val="24"/>
                <w:szCs w:val="24"/>
              </w:rPr>
              <w:t>Provides values of dignity, relational humanity, and interconnectedness</w:t>
            </w:r>
          </w:p>
        </w:tc>
        <w:tc>
          <w:tcPr>
            <w:tcW w:w="0" w:type="auto"/>
            <w:hideMark/>
          </w:tcPr>
          <w:p w14:paraId="22BC3F37" w14:textId="77777777" w:rsidR="0064397F" w:rsidRPr="0064397F" w:rsidRDefault="0064397F" w:rsidP="0064397F">
            <w:pPr>
              <w:spacing w:after="120" w:line="360" w:lineRule="auto"/>
              <w:jc w:val="both"/>
              <w:rPr>
                <w:sz w:val="24"/>
                <w:szCs w:val="24"/>
              </w:rPr>
            </w:pPr>
            <w:r w:rsidRPr="0064397F">
              <w:rPr>
                <w:sz w:val="24"/>
                <w:szCs w:val="24"/>
              </w:rPr>
              <w:t>Values-oriented but less operationally defined</w:t>
            </w:r>
          </w:p>
        </w:tc>
      </w:tr>
      <w:tr w:rsidR="0064397F" w:rsidRPr="0064397F" w14:paraId="13CD7979" w14:textId="77777777" w:rsidTr="0064397F">
        <w:tc>
          <w:tcPr>
            <w:tcW w:w="0" w:type="auto"/>
            <w:hideMark/>
          </w:tcPr>
          <w:p w14:paraId="53B885A9" w14:textId="77777777" w:rsidR="0064397F" w:rsidRPr="0064397F" w:rsidRDefault="0064397F" w:rsidP="0064397F">
            <w:pPr>
              <w:spacing w:after="120" w:line="360" w:lineRule="auto"/>
              <w:jc w:val="both"/>
              <w:rPr>
                <w:sz w:val="24"/>
                <w:szCs w:val="24"/>
              </w:rPr>
            </w:pPr>
            <w:r w:rsidRPr="0064397F">
              <w:rPr>
                <w:sz w:val="24"/>
                <w:szCs w:val="24"/>
              </w:rPr>
              <w:lastRenderedPageBreak/>
              <w:t>Human Buffering</w:t>
            </w:r>
          </w:p>
        </w:tc>
        <w:tc>
          <w:tcPr>
            <w:tcW w:w="0" w:type="auto"/>
            <w:hideMark/>
          </w:tcPr>
          <w:p w14:paraId="68EC7FF4" w14:textId="77777777" w:rsidR="0064397F" w:rsidRPr="0064397F" w:rsidRDefault="0064397F" w:rsidP="0064397F">
            <w:pPr>
              <w:spacing w:after="120" w:line="360" w:lineRule="auto"/>
              <w:jc w:val="both"/>
              <w:rPr>
                <w:sz w:val="24"/>
                <w:szCs w:val="24"/>
              </w:rPr>
            </w:pPr>
            <w:r w:rsidRPr="0064397F">
              <w:rPr>
                <w:sz w:val="24"/>
                <w:szCs w:val="24"/>
              </w:rPr>
              <w:t>Explains mediation of conflicting institutional and student demands</w:t>
            </w:r>
          </w:p>
        </w:tc>
        <w:tc>
          <w:tcPr>
            <w:tcW w:w="0" w:type="auto"/>
            <w:hideMark/>
          </w:tcPr>
          <w:p w14:paraId="53F5B27E" w14:textId="77777777" w:rsidR="0064397F" w:rsidRPr="0064397F" w:rsidRDefault="0064397F" w:rsidP="0064397F">
            <w:pPr>
              <w:spacing w:after="120" w:line="360" w:lineRule="auto"/>
              <w:jc w:val="both"/>
              <w:rPr>
                <w:sz w:val="24"/>
                <w:szCs w:val="24"/>
              </w:rPr>
            </w:pPr>
            <w:r w:rsidRPr="0064397F">
              <w:rPr>
                <w:sz w:val="24"/>
                <w:szCs w:val="24"/>
              </w:rPr>
              <w:t>Concept being developed through this inquiry</w:t>
            </w:r>
          </w:p>
        </w:tc>
      </w:tr>
    </w:tbl>
    <w:p w14:paraId="33B6534C" w14:textId="77777777" w:rsidR="00171251" w:rsidRDefault="00171251" w:rsidP="003E5A1C">
      <w:pPr>
        <w:spacing w:after="120" w:line="360" w:lineRule="auto"/>
        <w:jc w:val="both"/>
      </w:pPr>
    </w:p>
    <w:p w14:paraId="4CCE57F1" w14:textId="0CB64BFD" w:rsidR="00D913FD" w:rsidRPr="00C96794" w:rsidRDefault="00D913FD" w:rsidP="003E5A1C">
      <w:pPr>
        <w:spacing w:after="120" w:line="360" w:lineRule="auto"/>
        <w:jc w:val="both"/>
        <w:rPr>
          <w:sz w:val="24"/>
          <w:szCs w:val="24"/>
        </w:rPr>
      </w:pPr>
      <w:r w:rsidRPr="00C96794">
        <w:rPr>
          <w:sz w:val="24"/>
          <w:szCs w:val="24"/>
        </w:rPr>
        <w:t xml:space="preserve">Collectively, these perspectives illuminate important aspects of academic work but leave a conceptual space regarding how academics actively negotiate competing expectations. </w:t>
      </w:r>
      <w:r w:rsidR="00865E68" w:rsidRPr="00865E68">
        <w:rPr>
          <w:sz w:val="24"/>
          <w:szCs w:val="24"/>
        </w:rPr>
        <w:t>The analysis that follows develops a conceptual explanation for this mediating work and examines its emergence through practitioner inquiry.</w:t>
      </w:r>
    </w:p>
    <w:p w14:paraId="2BBC403B" w14:textId="77777777" w:rsidR="00171251" w:rsidRDefault="00171251" w:rsidP="003E5A1C">
      <w:pPr>
        <w:spacing w:after="120" w:line="360" w:lineRule="auto"/>
        <w:jc w:val="both"/>
      </w:pPr>
    </w:p>
    <w:p w14:paraId="25D22380" w14:textId="6CBD691C" w:rsidR="00E342A1" w:rsidRDefault="005C04EC" w:rsidP="0053480F">
      <w:pPr>
        <w:pStyle w:val="EJOLTS2Subsections"/>
        <w:rPr>
          <w:rFonts w:asciiTheme="minorHAnsi" w:hAnsiTheme="minorHAnsi" w:cstheme="minorBidi"/>
          <w:b w:val="0"/>
          <w:bCs w:val="0"/>
        </w:rPr>
      </w:pPr>
      <w:r w:rsidRPr="005C04EC">
        <w:rPr>
          <w:rFonts w:cstheme="minorBidi"/>
          <w:sz w:val="28"/>
          <w:szCs w:val="28"/>
        </w:rPr>
        <w:t xml:space="preserve">3. Methodology </w:t>
      </w:r>
    </w:p>
    <w:p w14:paraId="68A23ABF" w14:textId="220BC628" w:rsidR="009D3F87" w:rsidRPr="009D3F87" w:rsidRDefault="0014446C" w:rsidP="007A6C2D">
      <w:pPr>
        <w:pStyle w:val="EJOLTS2Subsections"/>
        <w:rPr>
          <w:rFonts w:asciiTheme="minorHAnsi" w:hAnsiTheme="minorHAnsi" w:cstheme="minorBidi"/>
          <w:b w:val="0"/>
          <w:bCs w:val="0"/>
        </w:rPr>
      </w:pPr>
      <w:r w:rsidRPr="0014446C">
        <w:rPr>
          <w:rFonts w:asciiTheme="minorHAnsi" w:hAnsiTheme="minorHAnsi" w:cstheme="minorBidi"/>
          <w:b w:val="0"/>
          <w:bCs w:val="0"/>
        </w:rPr>
        <w:t>This study adopted Living Theory Research as a practitioner inquiry methodology. Living Theory Research was selected because it enables practitioners to investigate and explain educational influence through critical reflection on practice (Whitehead, 2008). The inquiry focused on understanding how a recurring pattern of educational mediation emerged through twenty years of professional practice within a South African University of Technology.</w:t>
      </w:r>
    </w:p>
    <w:p w14:paraId="63D42ED8" w14:textId="2C56B659" w:rsidR="007A6C2D" w:rsidRPr="00776477" w:rsidRDefault="007A6C2D" w:rsidP="007A6C2D">
      <w:pPr>
        <w:pStyle w:val="EJOLTS2Subsections"/>
        <w:rPr>
          <w:rFonts w:asciiTheme="minorHAnsi" w:hAnsiTheme="minorHAnsi" w:cstheme="minorBidi"/>
        </w:rPr>
      </w:pPr>
      <w:r w:rsidRPr="00776477">
        <w:rPr>
          <w:rFonts w:asciiTheme="minorHAnsi" w:hAnsiTheme="minorHAnsi" w:cstheme="minorBidi"/>
        </w:rPr>
        <w:t>3.1 Living Educational Theory Inquiry</w:t>
      </w:r>
    </w:p>
    <w:p w14:paraId="4CCA8F34" w14:textId="77777777" w:rsidR="002E648C" w:rsidRPr="002E648C" w:rsidRDefault="002E648C" w:rsidP="002E648C">
      <w:pPr>
        <w:pStyle w:val="EJOLTS2Subsections"/>
        <w:rPr>
          <w:rFonts w:asciiTheme="minorHAnsi" w:hAnsiTheme="minorHAnsi" w:cstheme="minorBidi"/>
          <w:b w:val="0"/>
          <w:bCs w:val="0"/>
        </w:rPr>
      </w:pPr>
      <w:r w:rsidRPr="002E648C">
        <w:rPr>
          <w:rFonts w:asciiTheme="minorHAnsi" w:hAnsiTheme="minorHAnsi" w:cstheme="minorBidi"/>
          <w:b w:val="0"/>
          <w:bCs w:val="0"/>
        </w:rPr>
        <w:t>Living Theory research, developed by Whitehead (1989, 2018), is grounded in the question: How do I improve what I am doing? Rather than positioning the researcher as an external observer, Living Theory locates inquiry within the lived experiences of the practitioner. The approach is particularly appropriate for educational research because it focuses on the relationship between values, practice, reflection, and educational influence. Educational knowledge is generated through critical examination of practice and the ongoing effort to improve it.</w:t>
      </w:r>
    </w:p>
    <w:p w14:paraId="0D205E0E" w14:textId="184FEA08" w:rsidR="00F16BCA" w:rsidRDefault="00F16BCA" w:rsidP="002E648C">
      <w:pPr>
        <w:pStyle w:val="EJOLTS2Subsections"/>
        <w:rPr>
          <w:rFonts w:asciiTheme="minorHAnsi" w:hAnsiTheme="minorHAnsi" w:cstheme="minorBidi"/>
          <w:b w:val="0"/>
          <w:bCs w:val="0"/>
        </w:rPr>
      </w:pPr>
      <w:r w:rsidRPr="00F16BCA">
        <w:rPr>
          <w:rFonts w:asciiTheme="minorHAnsi" w:hAnsiTheme="minorHAnsi" w:cstheme="minorBidi"/>
          <w:b w:val="0"/>
          <w:bCs w:val="0"/>
        </w:rPr>
        <w:t xml:space="preserve">A key concept within Living Theory is the notion of a living contradiction, where practitioners hold values that are not fully realised within existing institutional structures and practices. Throughout this inquiry, recurring tensions emerged between values such as care, inclusion, dignity, and student development, and institutional demands relating to throughput, accountability, workload, and performance targets. The investigation therefore focussed on </w:t>
      </w:r>
      <w:r w:rsidRPr="00F16BCA">
        <w:rPr>
          <w:rFonts w:asciiTheme="minorHAnsi" w:hAnsiTheme="minorHAnsi" w:cstheme="minorBidi"/>
          <w:b w:val="0"/>
          <w:bCs w:val="0"/>
        </w:rPr>
        <w:lastRenderedPageBreak/>
        <w:t>understanding how these tensions were experienced, negotiated, and addressed through practice.</w:t>
      </w:r>
    </w:p>
    <w:p w14:paraId="6919FF80" w14:textId="4FB95BC9" w:rsidR="00032768" w:rsidRPr="007A6C2D" w:rsidRDefault="004811B0" w:rsidP="002E648C">
      <w:pPr>
        <w:pStyle w:val="EJOLTS2Subsections"/>
        <w:rPr>
          <w:rFonts w:asciiTheme="minorHAnsi" w:hAnsiTheme="minorHAnsi" w:cstheme="minorBidi"/>
          <w:b w:val="0"/>
          <w:bCs w:val="0"/>
        </w:rPr>
      </w:pPr>
      <w:r w:rsidRPr="004811B0">
        <w:rPr>
          <w:rFonts w:asciiTheme="minorHAnsi" w:hAnsiTheme="minorHAnsi" w:cstheme="minorBidi"/>
          <w:b w:val="0"/>
          <w:bCs w:val="0"/>
        </w:rPr>
        <w:t>Through this approach, recurring tensions within practice became sites for reflection and learning, contributing to the emergence of Human Buffering as an explanatory concept.</w:t>
      </w:r>
    </w:p>
    <w:p w14:paraId="3087531A" w14:textId="4F0008C2" w:rsidR="007A6C2D" w:rsidRPr="00776477" w:rsidRDefault="007A6C2D" w:rsidP="007A6C2D">
      <w:pPr>
        <w:pStyle w:val="EJOLTS2Subsections"/>
        <w:rPr>
          <w:rFonts w:asciiTheme="minorHAnsi" w:hAnsiTheme="minorHAnsi" w:cstheme="minorBidi"/>
        </w:rPr>
      </w:pPr>
      <w:r w:rsidRPr="00776477">
        <w:rPr>
          <w:rFonts w:asciiTheme="minorHAnsi" w:hAnsiTheme="minorHAnsi" w:cstheme="minorBidi"/>
        </w:rPr>
        <w:t xml:space="preserve">3.2 </w:t>
      </w:r>
      <w:r w:rsidR="00EE7206" w:rsidRPr="00EE7206">
        <w:rPr>
          <w:rFonts w:asciiTheme="minorHAnsi" w:hAnsiTheme="minorHAnsi" w:cstheme="minorBidi"/>
        </w:rPr>
        <w:t>Data Sources</w:t>
      </w:r>
    </w:p>
    <w:p w14:paraId="5F4E0259" w14:textId="23529530" w:rsidR="007A6C2D" w:rsidRDefault="00EE7206" w:rsidP="007A6C2D">
      <w:pPr>
        <w:pStyle w:val="EJOLTS2Subsections"/>
        <w:rPr>
          <w:rFonts w:asciiTheme="minorHAnsi" w:hAnsiTheme="minorHAnsi" w:cstheme="minorBidi"/>
          <w:b w:val="0"/>
          <w:bCs w:val="0"/>
        </w:rPr>
      </w:pPr>
      <w:r w:rsidRPr="00EE7206">
        <w:rPr>
          <w:rFonts w:asciiTheme="minorHAnsi" w:hAnsiTheme="minorHAnsi" w:cstheme="minorBidi"/>
          <w:b w:val="0"/>
          <w:bCs w:val="0"/>
        </w:rPr>
        <w:t>The study draws on four interconnected sources of evidence spanning a period of approximately twenty years. The use of multiple sources enables triangulation and strengthens the credibility of the findings by allowing recurring patterns to be identified across different contexts and time periods.</w:t>
      </w:r>
    </w:p>
    <w:p w14:paraId="193C418F" w14:textId="77777777" w:rsidR="00EE7206" w:rsidRPr="007A6C2D" w:rsidRDefault="00EE7206" w:rsidP="007A6C2D">
      <w:pPr>
        <w:pStyle w:val="EJOLTS2Subsections"/>
        <w:rPr>
          <w:rFonts w:asciiTheme="minorHAnsi" w:hAnsiTheme="minorHAnsi" w:cstheme="minorBidi"/>
          <w:b w:val="0"/>
          <w:bCs w:val="0"/>
        </w:rPr>
      </w:pPr>
    </w:p>
    <w:p w14:paraId="40288EE4" w14:textId="00032E45" w:rsidR="007A6C2D" w:rsidRPr="007D051D" w:rsidRDefault="007D051D" w:rsidP="007A6C2D">
      <w:pPr>
        <w:pStyle w:val="EJOLTS2Subsections"/>
        <w:rPr>
          <w:rFonts w:asciiTheme="minorHAnsi" w:hAnsiTheme="minorHAnsi" w:cstheme="minorBidi"/>
        </w:rPr>
      </w:pPr>
      <w:r w:rsidRPr="007D051D">
        <w:rPr>
          <w:rFonts w:asciiTheme="minorHAnsi" w:hAnsiTheme="minorHAnsi" w:cstheme="minorBidi"/>
        </w:rPr>
        <w:t xml:space="preserve">Source 1: </w:t>
      </w:r>
      <w:r w:rsidR="00957EE1" w:rsidRPr="00957EE1">
        <w:rPr>
          <w:rFonts w:asciiTheme="minorHAnsi" w:hAnsiTheme="minorHAnsi" w:cstheme="minorBidi"/>
        </w:rPr>
        <w:t xml:space="preserve">Postgraduate Diploma in Higher Education </w:t>
      </w:r>
      <w:r w:rsidRPr="007D051D">
        <w:rPr>
          <w:rFonts w:asciiTheme="minorHAnsi" w:hAnsiTheme="minorHAnsi" w:cstheme="minorBidi"/>
        </w:rPr>
        <w:t>Portfolio (2015)</w:t>
      </w:r>
    </w:p>
    <w:p w14:paraId="6EFE8E27" w14:textId="74864C63" w:rsidR="007A6C2D" w:rsidRPr="007A6C2D" w:rsidRDefault="00715BF7" w:rsidP="007A6C2D">
      <w:pPr>
        <w:pStyle w:val="EJOLTS2Subsections"/>
        <w:rPr>
          <w:rFonts w:asciiTheme="minorHAnsi" w:hAnsiTheme="minorHAnsi" w:cstheme="minorBidi"/>
          <w:b w:val="0"/>
          <w:bCs w:val="0"/>
        </w:rPr>
      </w:pPr>
      <w:r w:rsidRPr="00715BF7">
        <w:rPr>
          <w:rFonts w:asciiTheme="minorHAnsi" w:hAnsiTheme="minorHAnsi" w:cstheme="minorBidi"/>
          <w:b w:val="0"/>
          <w:bCs w:val="0"/>
        </w:rPr>
        <w:t xml:space="preserve">The first source was my Portfolio, developed as part of the </w:t>
      </w:r>
      <w:bookmarkStart w:id="0" w:name="_Hlk241159809"/>
      <w:r w:rsidRPr="00715BF7">
        <w:rPr>
          <w:rFonts w:asciiTheme="minorHAnsi" w:hAnsiTheme="minorHAnsi" w:cstheme="minorBidi"/>
          <w:b w:val="0"/>
          <w:bCs w:val="0"/>
        </w:rPr>
        <w:t xml:space="preserve">Postgraduate Diploma in Higher </w:t>
      </w:r>
      <w:bookmarkEnd w:id="0"/>
      <w:r w:rsidR="00957EE1" w:rsidRPr="00715BF7">
        <w:rPr>
          <w:rFonts w:asciiTheme="minorHAnsi" w:hAnsiTheme="minorHAnsi" w:cstheme="minorBidi"/>
          <w:b w:val="0"/>
          <w:bCs w:val="0"/>
        </w:rPr>
        <w:t>Education</w:t>
      </w:r>
      <w:r w:rsidR="00957EE1">
        <w:rPr>
          <w:rFonts w:asciiTheme="minorHAnsi" w:hAnsiTheme="minorHAnsi" w:cstheme="minorBidi"/>
          <w:b w:val="0"/>
          <w:bCs w:val="0"/>
        </w:rPr>
        <w:t xml:space="preserve"> (</w:t>
      </w:r>
      <w:proofErr w:type="spellStart"/>
      <w:r w:rsidR="00957EE1" w:rsidRPr="00957EE1">
        <w:rPr>
          <w:rFonts w:asciiTheme="minorHAnsi" w:hAnsiTheme="minorHAnsi" w:cstheme="minorBidi"/>
          <w:b w:val="0"/>
          <w:bCs w:val="0"/>
        </w:rPr>
        <w:t>PGDipHE</w:t>
      </w:r>
      <w:proofErr w:type="spellEnd"/>
      <w:r w:rsidR="00957EE1">
        <w:rPr>
          <w:rFonts w:asciiTheme="minorHAnsi" w:hAnsiTheme="minorHAnsi" w:cstheme="minorBidi"/>
          <w:b w:val="0"/>
          <w:bCs w:val="0"/>
        </w:rPr>
        <w:t>)</w:t>
      </w:r>
      <w:r w:rsidRPr="00715BF7">
        <w:rPr>
          <w:rFonts w:asciiTheme="minorHAnsi" w:hAnsiTheme="minorHAnsi" w:cstheme="minorBidi"/>
          <w:b w:val="0"/>
          <w:bCs w:val="0"/>
        </w:rPr>
        <w:t xml:space="preserve"> at Rhodes University. </w:t>
      </w:r>
      <w:r w:rsidR="00844C67" w:rsidRPr="00844C67">
        <w:rPr>
          <w:rFonts w:asciiTheme="minorHAnsi" w:hAnsiTheme="minorHAnsi" w:cstheme="minorBidi"/>
          <w:b w:val="0"/>
          <w:bCs w:val="0"/>
        </w:rPr>
        <w:t>The portfolio contains early reflections on teaching practice, student vulnerability, assessment, curriculum development, and institutional pressures. It provides evidence of the initial discomforts, questions, and educational concerns that contributed to the later emergence of Human Buffering.</w:t>
      </w:r>
    </w:p>
    <w:p w14:paraId="36A05964" w14:textId="77777777" w:rsidR="007A6C2D" w:rsidRPr="007A6C2D" w:rsidRDefault="007A6C2D" w:rsidP="007A6C2D">
      <w:pPr>
        <w:pStyle w:val="EJOLTS2Subsections"/>
        <w:rPr>
          <w:rFonts w:asciiTheme="minorHAnsi" w:hAnsiTheme="minorHAnsi" w:cstheme="minorBidi"/>
          <w:b w:val="0"/>
          <w:bCs w:val="0"/>
        </w:rPr>
      </w:pPr>
    </w:p>
    <w:p w14:paraId="422766F3" w14:textId="464503F7" w:rsidR="007A6C2D" w:rsidRPr="00DC5D61" w:rsidRDefault="00DC5D61" w:rsidP="007A6C2D">
      <w:pPr>
        <w:pStyle w:val="EJOLTS2Subsections"/>
        <w:rPr>
          <w:rFonts w:asciiTheme="minorHAnsi" w:hAnsiTheme="minorHAnsi" w:cstheme="minorBidi"/>
        </w:rPr>
      </w:pPr>
      <w:r w:rsidRPr="00DC5D61">
        <w:rPr>
          <w:rFonts w:asciiTheme="minorHAnsi" w:hAnsiTheme="minorHAnsi" w:cstheme="minorBidi"/>
        </w:rPr>
        <w:t>Source 2: Doctoral Study (2024)</w:t>
      </w:r>
    </w:p>
    <w:p w14:paraId="0A6BB604" w14:textId="3CC8F6EC" w:rsidR="001011AC" w:rsidRDefault="001011AC" w:rsidP="007A6C2D">
      <w:pPr>
        <w:pStyle w:val="EJOLTS2Subsections"/>
        <w:rPr>
          <w:rFonts w:asciiTheme="minorHAnsi" w:hAnsiTheme="minorHAnsi" w:cstheme="minorBidi"/>
          <w:b w:val="0"/>
          <w:bCs w:val="0"/>
        </w:rPr>
      </w:pPr>
      <w:r w:rsidRPr="001011AC">
        <w:rPr>
          <w:rFonts w:asciiTheme="minorHAnsi" w:hAnsiTheme="minorHAnsi" w:cstheme="minorBidi"/>
          <w:b w:val="0"/>
          <w:bCs w:val="0"/>
        </w:rPr>
        <w:t>The second source was my doctoral inquiry, Conflicting Practices in Higher Education: A Practitioner’s Perspective. The study generated evidence relating to workload, student vulnerability, institutional expectations, infrastructure constraints, and educational contradictions. It provided the principal evidence base through which recurring patterns of mediation became visible.</w:t>
      </w:r>
    </w:p>
    <w:p w14:paraId="4551D8E9" w14:textId="77777777" w:rsidR="009A5630" w:rsidRDefault="009A5630" w:rsidP="007A6C2D">
      <w:pPr>
        <w:pStyle w:val="EJOLTS2Subsections"/>
        <w:rPr>
          <w:rFonts w:asciiTheme="minorHAnsi" w:hAnsiTheme="minorHAnsi" w:cstheme="minorBidi"/>
          <w:b w:val="0"/>
          <w:bCs w:val="0"/>
        </w:rPr>
      </w:pPr>
    </w:p>
    <w:p w14:paraId="4F783F44" w14:textId="77777777" w:rsidR="00E51CB7" w:rsidRPr="00E51CB7" w:rsidRDefault="00E51CB7" w:rsidP="00E51CB7">
      <w:pPr>
        <w:pStyle w:val="EJOLTS2Subsections"/>
        <w:rPr>
          <w:rFonts w:asciiTheme="minorHAnsi" w:hAnsiTheme="minorHAnsi" w:cstheme="minorBidi"/>
        </w:rPr>
      </w:pPr>
      <w:r w:rsidRPr="00E51CB7">
        <w:rPr>
          <w:rFonts w:asciiTheme="minorHAnsi" w:hAnsiTheme="minorHAnsi" w:cstheme="minorBidi"/>
        </w:rPr>
        <w:t>Source 3: Vice-Chancellor's Teaching Excellence Portfolio (2026)</w:t>
      </w:r>
    </w:p>
    <w:p w14:paraId="64077296" w14:textId="265C615B" w:rsidR="00E51CB7" w:rsidRDefault="003347EE" w:rsidP="00E51CB7">
      <w:pPr>
        <w:pStyle w:val="EJOLTS2Subsections"/>
        <w:rPr>
          <w:rFonts w:asciiTheme="minorHAnsi" w:hAnsiTheme="minorHAnsi" w:cstheme="minorBidi"/>
          <w:b w:val="0"/>
          <w:bCs w:val="0"/>
        </w:rPr>
      </w:pPr>
      <w:r w:rsidRPr="003347EE">
        <w:rPr>
          <w:rFonts w:asciiTheme="minorHAnsi" w:hAnsiTheme="minorHAnsi" w:cstheme="minorBidi"/>
          <w:b w:val="0"/>
          <w:bCs w:val="0"/>
        </w:rPr>
        <w:t xml:space="preserve">The Vice-Chancellor’s Award portfolio provided evidence of educational influence through student evaluations, pass-rate trends, curriculum leadership, mentoring activities, and </w:t>
      </w:r>
      <w:r w:rsidRPr="003347EE">
        <w:rPr>
          <w:rFonts w:asciiTheme="minorHAnsi" w:hAnsiTheme="minorHAnsi" w:cstheme="minorBidi"/>
          <w:b w:val="0"/>
          <w:bCs w:val="0"/>
        </w:rPr>
        <w:lastRenderedPageBreak/>
        <w:t>teaching innovation. These data were particularly important in validating the educational impact of practices associated with Human Buffering.</w:t>
      </w:r>
    </w:p>
    <w:p w14:paraId="4C67F9DF" w14:textId="77777777" w:rsidR="009D5147" w:rsidRPr="009D5147" w:rsidRDefault="009D5147" w:rsidP="009D5147">
      <w:pPr>
        <w:pStyle w:val="EJOLTS2Subsections"/>
        <w:rPr>
          <w:rFonts w:asciiTheme="minorHAnsi" w:hAnsiTheme="minorHAnsi" w:cstheme="minorBidi"/>
        </w:rPr>
      </w:pPr>
      <w:r w:rsidRPr="009D5147">
        <w:rPr>
          <w:rFonts w:asciiTheme="minorHAnsi" w:hAnsiTheme="minorHAnsi" w:cstheme="minorBidi"/>
        </w:rPr>
        <w:t>Source 4: Community Engagement Portfolio (2026)</w:t>
      </w:r>
    </w:p>
    <w:p w14:paraId="3652E19F" w14:textId="6A9F44CB" w:rsidR="00DC5D61" w:rsidRPr="007A6C2D" w:rsidRDefault="00C82545" w:rsidP="007A6C2D">
      <w:pPr>
        <w:pStyle w:val="EJOLTS2Subsections"/>
        <w:rPr>
          <w:rFonts w:asciiTheme="minorHAnsi" w:hAnsiTheme="minorHAnsi" w:cstheme="minorBidi"/>
          <w:b w:val="0"/>
          <w:bCs w:val="0"/>
        </w:rPr>
      </w:pPr>
      <w:r w:rsidRPr="00C82545">
        <w:rPr>
          <w:rFonts w:asciiTheme="minorHAnsi" w:hAnsiTheme="minorHAnsi" w:cstheme="minorBidi"/>
          <w:b w:val="0"/>
          <w:bCs w:val="0"/>
        </w:rPr>
        <w:t>The community engagement portfolio documented educational support activities, student participation, food security initiatives, and community partnerships. The portfolio demonstrated that buffering practices extended beyond formal teaching into broader educational and community contexts.</w:t>
      </w:r>
    </w:p>
    <w:p w14:paraId="7CA54C91" w14:textId="2D6BE04E" w:rsidR="007A6C2D" w:rsidRPr="00123E73" w:rsidRDefault="007A6C2D" w:rsidP="007A6C2D">
      <w:pPr>
        <w:pStyle w:val="EJOLTS2Subsections"/>
        <w:rPr>
          <w:rFonts w:asciiTheme="minorHAnsi" w:hAnsiTheme="minorHAnsi" w:cstheme="minorBidi"/>
        </w:rPr>
      </w:pPr>
      <w:r w:rsidRPr="00123E73">
        <w:rPr>
          <w:rFonts w:asciiTheme="minorHAnsi" w:hAnsiTheme="minorHAnsi" w:cstheme="minorBidi"/>
        </w:rPr>
        <w:t xml:space="preserve">3.3 </w:t>
      </w:r>
      <w:r w:rsidR="009D5147" w:rsidRPr="009D5147">
        <w:rPr>
          <w:rFonts w:asciiTheme="minorHAnsi" w:hAnsiTheme="minorHAnsi" w:cstheme="minorBidi"/>
        </w:rPr>
        <w:t>Analysis Process</w:t>
      </w:r>
    </w:p>
    <w:p w14:paraId="40DFA972" w14:textId="1AA1D648" w:rsidR="000B2AFC" w:rsidRPr="000B2AFC" w:rsidRDefault="00C82545" w:rsidP="000B2AFC">
      <w:pPr>
        <w:pStyle w:val="EJOLTS2Subsections"/>
        <w:rPr>
          <w:rFonts w:asciiTheme="minorHAnsi" w:hAnsiTheme="minorHAnsi" w:cstheme="minorBidi"/>
          <w:b w:val="0"/>
          <w:bCs w:val="0"/>
        </w:rPr>
      </w:pPr>
      <w:r w:rsidRPr="00C82545">
        <w:rPr>
          <w:rFonts w:asciiTheme="minorHAnsi" w:hAnsiTheme="minorHAnsi" w:cstheme="minorBidi"/>
          <w:b w:val="0"/>
          <w:bCs w:val="0"/>
        </w:rPr>
        <w:t>Analysis was undertaken through critical reflection, thematic analysis, and retrospective interpretation. The objective was to identify recurring tensions, values, actions, and forms of educational influence evident across the documentary sources.</w:t>
      </w:r>
    </w:p>
    <w:p w14:paraId="1DDCEB72" w14:textId="11AFA633" w:rsidR="00EE402C" w:rsidRPr="00EE402C" w:rsidRDefault="000B2AFC" w:rsidP="00EE402C">
      <w:pPr>
        <w:pStyle w:val="EJOLTS2Subsections"/>
        <w:rPr>
          <w:rFonts w:asciiTheme="minorHAnsi" w:hAnsiTheme="minorHAnsi" w:cstheme="minorBidi"/>
          <w:b w:val="0"/>
          <w:bCs w:val="0"/>
        </w:rPr>
      </w:pPr>
      <w:r w:rsidRPr="000B2AFC">
        <w:rPr>
          <w:rFonts w:asciiTheme="minorHAnsi" w:hAnsiTheme="minorHAnsi" w:cstheme="minorBidi"/>
          <w:b w:val="0"/>
          <w:bCs w:val="0"/>
        </w:rPr>
        <w:t xml:space="preserve">The second stage involved thematic analysis. Documentary evidence was reviewed iteratively and coded according to recurring patterns evident across different periods and settings. </w:t>
      </w:r>
      <w:r w:rsidR="00EE402C" w:rsidRPr="00EE402C">
        <w:rPr>
          <w:rFonts w:asciiTheme="minorHAnsi" w:hAnsiTheme="minorHAnsi" w:cstheme="minorBidi"/>
          <w:b w:val="0"/>
          <w:bCs w:val="0"/>
        </w:rPr>
        <w:t>The analysis generated four themes:</w:t>
      </w:r>
    </w:p>
    <w:p w14:paraId="46589150" w14:textId="77777777" w:rsidR="00EE402C" w:rsidRPr="00EE402C" w:rsidRDefault="00EE402C" w:rsidP="00EE402C">
      <w:pPr>
        <w:pStyle w:val="EJOLTS2Subsections"/>
        <w:numPr>
          <w:ilvl w:val="0"/>
          <w:numId w:val="16"/>
        </w:numPr>
        <w:rPr>
          <w:rFonts w:asciiTheme="minorHAnsi" w:hAnsiTheme="minorHAnsi" w:cstheme="minorBidi"/>
          <w:b w:val="0"/>
          <w:bCs w:val="0"/>
        </w:rPr>
      </w:pPr>
      <w:r w:rsidRPr="00EE402C">
        <w:rPr>
          <w:rFonts w:asciiTheme="minorHAnsi" w:hAnsiTheme="minorHAnsi" w:cstheme="minorBidi"/>
        </w:rPr>
        <w:t>Student vulnerability</w:t>
      </w:r>
      <w:r w:rsidRPr="00EE402C">
        <w:rPr>
          <w:rFonts w:asciiTheme="minorHAnsi" w:hAnsiTheme="minorHAnsi" w:cstheme="minorBidi"/>
          <w:b w:val="0"/>
          <w:bCs w:val="0"/>
        </w:rPr>
        <w:t xml:space="preserve"> (poverty, language barriers, food insecurity and under-preparedness).</w:t>
      </w:r>
    </w:p>
    <w:p w14:paraId="4ECB8314" w14:textId="77777777" w:rsidR="00EE402C" w:rsidRPr="00EE402C" w:rsidRDefault="00EE402C" w:rsidP="00EE402C">
      <w:pPr>
        <w:pStyle w:val="EJOLTS2Subsections"/>
        <w:numPr>
          <w:ilvl w:val="0"/>
          <w:numId w:val="16"/>
        </w:numPr>
        <w:rPr>
          <w:rFonts w:asciiTheme="minorHAnsi" w:hAnsiTheme="minorHAnsi" w:cstheme="minorBidi"/>
          <w:b w:val="0"/>
          <w:bCs w:val="0"/>
        </w:rPr>
      </w:pPr>
      <w:r w:rsidRPr="00EE402C">
        <w:rPr>
          <w:rFonts w:asciiTheme="minorHAnsi" w:hAnsiTheme="minorHAnsi" w:cstheme="minorBidi"/>
        </w:rPr>
        <w:t>Institutional expectations</w:t>
      </w:r>
      <w:r w:rsidRPr="00EE402C">
        <w:rPr>
          <w:rFonts w:asciiTheme="minorHAnsi" w:hAnsiTheme="minorHAnsi" w:cstheme="minorBidi"/>
          <w:b w:val="0"/>
          <w:bCs w:val="0"/>
        </w:rPr>
        <w:t xml:space="preserve"> (throughput, accountability, quality assurance and performance).</w:t>
      </w:r>
    </w:p>
    <w:p w14:paraId="70706802" w14:textId="77777777" w:rsidR="00EE402C" w:rsidRPr="00EE402C" w:rsidRDefault="00EE402C" w:rsidP="00EE402C">
      <w:pPr>
        <w:pStyle w:val="EJOLTS2Subsections"/>
        <w:numPr>
          <w:ilvl w:val="0"/>
          <w:numId w:val="16"/>
        </w:numPr>
        <w:rPr>
          <w:rFonts w:asciiTheme="minorHAnsi" w:hAnsiTheme="minorHAnsi" w:cstheme="minorBidi"/>
          <w:b w:val="0"/>
          <w:bCs w:val="0"/>
        </w:rPr>
      </w:pPr>
      <w:r w:rsidRPr="00EE402C">
        <w:rPr>
          <w:rFonts w:asciiTheme="minorHAnsi" w:hAnsiTheme="minorHAnsi" w:cstheme="minorBidi"/>
        </w:rPr>
        <w:t>Lecturer mediation</w:t>
      </w:r>
      <w:r w:rsidRPr="00EE402C">
        <w:rPr>
          <w:rFonts w:asciiTheme="minorHAnsi" w:hAnsiTheme="minorHAnsi" w:cstheme="minorBidi"/>
          <w:b w:val="0"/>
          <w:bCs w:val="0"/>
        </w:rPr>
        <w:t xml:space="preserve"> (support, adaptation, mentoring and advocacy).</w:t>
      </w:r>
    </w:p>
    <w:p w14:paraId="731D74ED" w14:textId="23531B73" w:rsidR="00734DE7" w:rsidRPr="00734DE7" w:rsidRDefault="00EE402C" w:rsidP="00EE402C">
      <w:pPr>
        <w:pStyle w:val="EJOLTS2Subsections"/>
        <w:numPr>
          <w:ilvl w:val="0"/>
          <w:numId w:val="16"/>
        </w:numPr>
        <w:rPr>
          <w:rFonts w:asciiTheme="minorHAnsi" w:hAnsiTheme="minorHAnsi" w:cstheme="minorBidi"/>
          <w:b w:val="0"/>
          <w:bCs w:val="0"/>
        </w:rPr>
      </w:pPr>
      <w:r w:rsidRPr="00EE402C">
        <w:rPr>
          <w:rFonts w:asciiTheme="minorHAnsi" w:hAnsiTheme="minorHAnsi" w:cstheme="minorBidi"/>
        </w:rPr>
        <w:t>Educational influence</w:t>
      </w:r>
      <w:r w:rsidRPr="00EE402C">
        <w:rPr>
          <w:rFonts w:asciiTheme="minorHAnsi" w:hAnsiTheme="minorHAnsi" w:cstheme="minorBidi"/>
          <w:b w:val="0"/>
          <w:bCs w:val="0"/>
        </w:rPr>
        <w:t xml:space="preserve"> (student success, development and community engagement).</w:t>
      </w:r>
    </w:p>
    <w:p w14:paraId="603E7D16" w14:textId="03B8D298" w:rsidR="00AD5EF0" w:rsidRDefault="00734DE7" w:rsidP="00734DE7">
      <w:pPr>
        <w:pStyle w:val="EJOLTS2Subsections"/>
        <w:rPr>
          <w:rFonts w:asciiTheme="minorHAnsi" w:hAnsiTheme="minorHAnsi" w:cstheme="minorBidi"/>
          <w:b w:val="0"/>
          <w:bCs w:val="0"/>
        </w:rPr>
      </w:pPr>
      <w:r w:rsidRPr="00734DE7">
        <w:rPr>
          <w:rFonts w:asciiTheme="minorHAnsi" w:hAnsiTheme="minorHAnsi" w:cstheme="minorBidi"/>
          <w:b w:val="0"/>
          <w:bCs w:val="0"/>
        </w:rPr>
        <w:t xml:space="preserve">The final stage involved retrospective interpretation. The purpose was not to impose a predetermined concept upon the data but to identify how recurring practices and responses evolved over time. </w:t>
      </w:r>
      <w:r w:rsidR="004B572E" w:rsidRPr="004B572E">
        <w:rPr>
          <w:rFonts w:asciiTheme="minorHAnsi" w:hAnsiTheme="minorHAnsi" w:cstheme="minorBidi"/>
          <w:b w:val="0"/>
          <w:bCs w:val="0"/>
        </w:rPr>
        <w:t xml:space="preserve">Retrospective interpretation revealed a recurring pattern of educational action directed towards sustaining participation, dignity, and educational continuity in the face of competing demands. This recurring pattern was subsequently conceptualised as </w:t>
      </w:r>
      <w:r w:rsidR="004B572E" w:rsidRPr="006E00B4">
        <w:rPr>
          <w:rFonts w:asciiTheme="minorHAnsi" w:hAnsiTheme="minorHAnsi" w:cstheme="minorBidi"/>
        </w:rPr>
        <w:t>Human Buffering</w:t>
      </w:r>
      <w:r w:rsidR="004B572E" w:rsidRPr="004B572E">
        <w:rPr>
          <w:rFonts w:asciiTheme="minorHAnsi" w:hAnsiTheme="minorHAnsi" w:cstheme="minorBidi"/>
          <w:b w:val="0"/>
          <w:bCs w:val="0"/>
        </w:rPr>
        <w:t>.</w:t>
      </w:r>
    </w:p>
    <w:p w14:paraId="4738E42B" w14:textId="77777777" w:rsidR="00121C1F" w:rsidRDefault="00121C1F" w:rsidP="00734DE7">
      <w:pPr>
        <w:pStyle w:val="EJOLTS2Subsections"/>
        <w:rPr>
          <w:rFonts w:asciiTheme="minorHAnsi" w:hAnsiTheme="minorHAnsi" w:cstheme="minorBidi"/>
          <w:b w:val="0"/>
          <w:bCs w:val="0"/>
        </w:rPr>
      </w:pPr>
    </w:p>
    <w:p w14:paraId="5927622C" w14:textId="77777777" w:rsidR="00121C1F" w:rsidRDefault="00121C1F" w:rsidP="00734DE7">
      <w:pPr>
        <w:pStyle w:val="EJOLTS2Subsections"/>
        <w:rPr>
          <w:rFonts w:asciiTheme="minorHAnsi" w:hAnsiTheme="minorHAnsi" w:cstheme="minorBidi"/>
          <w:b w:val="0"/>
          <w:bCs w:val="0"/>
        </w:rPr>
      </w:pPr>
    </w:p>
    <w:p w14:paraId="4CE52511" w14:textId="18DF743A" w:rsidR="00833562" w:rsidRPr="00833562" w:rsidRDefault="00833562" w:rsidP="00833562">
      <w:pPr>
        <w:pStyle w:val="EJOLTS2Subsections"/>
        <w:rPr>
          <w:rFonts w:asciiTheme="minorHAnsi" w:hAnsiTheme="minorHAnsi" w:cstheme="minorBidi"/>
        </w:rPr>
      </w:pPr>
      <w:r w:rsidRPr="00C722A2">
        <w:rPr>
          <w:rFonts w:asciiTheme="minorHAnsi" w:hAnsiTheme="minorHAnsi" w:cstheme="minorBidi"/>
        </w:rPr>
        <w:lastRenderedPageBreak/>
        <w:t xml:space="preserve">3.4 </w:t>
      </w:r>
      <w:r w:rsidR="00C722A2" w:rsidRPr="00C722A2">
        <w:rPr>
          <w:rFonts w:asciiTheme="minorHAnsi" w:hAnsiTheme="minorHAnsi" w:cstheme="minorBidi"/>
        </w:rPr>
        <w:t>The Role of Rich Pictures in Surfacing Contradictions</w:t>
      </w:r>
    </w:p>
    <w:p w14:paraId="29F06249" w14:textId="5AC6A2F6" w:rsidR="007A6C2D" w:rsidRPr="007A6C2D" w:rsidRDefault="003D502E" w:rsidP="007A6C2D">
      <w:pPr>
        <w:pStyle w:val="EJOLTS2Subsections"/>
        <w:rPr>
          <w:rFonts w:asciiTheme="minorHAnsi" w:hAnsiTheme="minorHAnsi" w:cstheme="minorBidi"/>
          <w:b w:val="0"/>
          <w:bCs w:val="0"/>
        </w:rPr>
      </w:pPr>
      <w:r w:rsidRPr="003D502E">
        <w:rPr>
          <w:rFonts w:asciiTheme="minorHAnsi" w:hAnsiTheme="minorHAnsi" w:cstheme="minorBidi"/>
          <w:b w:val="0"/>
          <w:bCs w:val="0"/>
        </w:rPr>
        <w:t>As my inquiry developed, I found that written reflection alone was insufficient to capture the complexity of my professional environment. During the doctoral study, I used Rich Pictures informed by Soft Systems Methodology (</w:t>
      </w:r>
      <w:proofErr w:type="spellStart"/>
      <w:r w:rsidRPr="003D502E">
        <w:rPr>
          <w:rFonts w:asciiTheme="minorHAnsi" w:hAnsiTheme="minorHAnsi" w:cstheme="minorBidi"/>
          <w:b w:val="0"/>
          <w:bCs w:val="0"/>
        </w:rPr>
        <w:t>Checkland</w:t>
      </w:r>
      <w:proofErr w:type="spellEnd"/>
      <w:r w:rsidRPr="003D502E">
        <w:rPr>
          <w:rFonts w:asciiTheme="minorHAnsi" w:hAnsiTheme="minorHAnsi" w:cstheme="minorBidi"/>
          <w:b w:val="0"/>
          <w:bCs w:val="0"/>
        </w:rPr>
        <w:t xml:space="preserve"> &amp; Poulter, 2006) to explore the relationships between institutional expectations, student realities, professional responsibilities, and educational values. The process did not generate solutions directly. Rather, it enabled me to visualise interconnected challenges and identify recurring tensions that shaped my practice. These included tensions between student vulnerability and institutional accountability, academic standards and educational inclusion, and performance expectations and meaningful learning. Revisiting these visual representations helped make visible patterns of mediation that had previously remained implicit within my practice. Although the Rich Picture informed the inquiry, the focus of this article is not the visual method itself but the conceptual insight that emerged from it, namely</w:t>
      </w:r>
      <w:r w:rsidR="00D948DE" w:rsidRPr="00D948DE">
        <w:rPr>
          <w:rFonts w:asciiTheme="minorHAnsi" w:hAnsiTheme="minorHAnsi" w:cstheme="minorBidi"/>
          <w:b w:val="0"/>
          <w:bCs w:val="0"/>
        </w:rPr>
        <w:t xml:space="preserve"> a recurring form of values-led mediation that became visible through reflection on conflicting educational practices.</w:t>
      </w:r>
    </w:p>
    <w:p w14:paraId="05F75753" w14:textId="5B370A48" w:rsidR="007A6C2D" w:rsidRPr="008B5CA2" w:rsidRDefault="00137861" w:rsidP="007A6C2D">
      <w:pPr>
        <w:pStyle w:val="EJOLTS2Subsections"/>
        <w:rPr>
          <w:rFonts w:asciiTheme="minorHAnsi" w:hAnsiTheme="minorHAnsi" w:cstheme="minorBidi"/>
        </w:rPr>
      </w:pPr>
      <w:r w:rsidRPr="00137861">
        <w:rPr>
          <w:rFonts w:asciiTheme="minorHAnsi" w:hAnsiTheme="minorHAnsi" w:cstheme="minorBidi"/>
        </w:rPr>
        <w:t>3.5 Learning from Contradictions</w:t>
      </w:r>
    </w:p>
    <w:p w14:paraId="7CDDC598" w14:textId="68F9A5D1" w:rsidR="007A6C2D" w:rsidRPr="007A6C2D" w:rsidRDefault="0079726D" w:rsidP="007A6C2D">
      <w:pPr>
        <w:pStyle w:val="EJOLTS2Subsections"/>
        <w:rPr>
          <w:rFonts w:asciiTheme="minorHAnsi" w:hAnsiTheme="minorHAnsi" w:cstheme="minorBidi"/>
          <w:b w:val="0"/>
          <w:bCs w:val="0"/>
        </w:rPr>
      </w:pPr>
      <w:r w:rsidRPr="0079726D">
        <w:rPr>
          <w:rFonts w:asciiTheme="minorHAnsi" w:hAnsiTheme="minorHAnsi" w:cstheme="minorBidi"/>
          <w:b w:val="0"/>
          <w:bCs w:val="0"/>
        </w:rPr>
        <w:t>Contradictions were an important feature of this inquiry. They were evident in the recurring tensions between institutional expectations and student realities, between accountability and inclusion, and between performance measures and educational care. Rather than treating these tensions as isolated incidents, I approached them as opportunities for reflection and learning. The purpose of this article is not to undertake a formal Cultural-Historical Activity Theory analysis but to understand how sustained engagement with these contradictions contributed to my professional learning and the emergence of Human Buffering. Consequently, the emphasis remains on practitioner inquiry, educational influence, and the development of explanatory insight through Living Educational Theory Research.</w:t>
      </w:r>
    </w:p>
    <w:p w14:paraId="642C769B" w14:textId="77777777" w:rsidR="00F07454" w:rsidRPr="00B87EFB" w:rsidRDefault="00F07454">
      <w:pPr>
        <w:rPr>
          <w:sz w:val="24"/>
          <w:szCs w:val="24"/>
        </w:rPr>
      </w:pPr>
    </w:p>
    <w:p w14:paraId="3F31D4D6" w14:textId="567801CE" w:rsidR="00B87EFB" w:rsidRDefault="00B87EFB" w:rsidP="00B87EFB">
      <w:pPr>
        <w:spacing w:afterLines="120" w:after="288" w:line="360" w:lineRule="auto"/>
        <w:jc w:val="both"/>
        <w:rPr>
          <w:b/>
          <w:bCs/>
          <w:sz w:val="24"/>
          <w:szCs w:val="24"/>
        </w:rPr>
      </w:pPr>
      <w:r w:rsidRPr="00B87EFB">
        <w:rPr>
          <w:b/>
          <w:bCs/>
          <w:sz w:val="24"/>
          <w:szCs w:val="24"/>
        </w:rPr>
        <w:t xml:space="preserve">4. </w:t>
      </w:r>
      <w:r w:rsidR="00931668" w:rsidRPr="00931668">
        <w:rPr>
          <w:b/>
          <w:bCs/>
          <w:sz w:val="24"/>
          <w:szCs w:val="24"/>
        </w:rPr>
        <w:t>Journey of Inquiry: From Practice to Concept</w:t>
      </w:r>
    </w:p>
    <w:p w14:paraId="330962A0" w14:textId="59DE697E" w:rsidR="00931668" w:rsidRPr="00C96E2B" w:rsidRDefault="00C96E2B" w:rsidP="00B87EFB">
      <w:pPr>
        <w:spacing w:afterLines="120" w:after="288" w:line="360" w:lineRule="auto"/>
        <w:jc w:val="both"/>
        <w:rPr>
          <w:sz w:val="24"/>
          <w:szCs w:val="24"/>
        </w:rPr>
      </w:pPr>
      <w:r w:rsidRPr="00C96E2B">
        <w:rPr>
          <w:sz w:val="24"/>
          <w:szCs w:val="24"/>
        </w:rPr>
        <w:t xml:space="preserve">The purpose of this section is to explain how the concept of Human Buffering emerged through a twenty-year journey of educational practice, reflection, and inquiry. The reviewers </w:t>
      </w:r>
      <w:r w:rsidRPr="00C96E2B">
        <w:rPr>
          <w:sz w:val="24"/>
          <w:szCs w:val="24"/>
        </w:rPr>
        <w:lastRenderedPageBreak/>
        <w:t>of the manuscript questioned the origins of the concept and called for greater attention to the developmental process through which it emerged. Rather than presenting Human Buffering as a theoretical construct developed independently of practice, this section demonstrates how the concept arose from lived experience within higher education. Through successive phases of professional growth, critical reflection, and practitioner inquiry, recurring tensions between institutional expectations and student realities became increasingly visible. It was the sustained engagement with these tensions that ultimately gave rise to Human Buffering as an explanatory concept.</w:t>
      </w:r>
    </w:p>
    <w:p w14:paraId="75606DC8" w14:textId="7145E882" w:rsidR="00C96E2B" w:rsidRDefault="003772D8" w:rsidP="00B87EFB">
      <w:pPr>
        <w:spacing w:afterLines="120" w:after="288" w:line="360" w:lineRule="auto"/>
        <w:jc w:val="both"/>
        <w:rPr>
          <w:sz w:val="24"/>
          <w:szCs w:val="24"/>
        </w:rPr>
      </w:pPr>
      <w:r>
        <w:rPr>
          <w:b/>
          <w:bCs/>
          <w:sz w:val="24"/>
          <w:szCs w:val="24"/>
        </w:rPr>
        <w:t xml:space="preserve">4.1 </w:t>
      </w:r>
      <w:r w:rsidR="00C96E2B" w:rsidRPr="00C96E2B">
        <w:rPr>
          <w:b/>
          <w:bCs/>
          <w:sz w:val="24"/>
          <w:szCs w:val="24"/>
        </w:rPr>
        <w:t>Phase 1 (2004–2014): Unnamed Practice</w:t>
      </w:r>
      <w:r w:rsidR="00B87EFB" w:rsidRPr="00B87EFB">
        <w:rPr>
          <w:sz w:val="24"/>
          <w:szCs w:val="24"/>
        </w:rPr>
        <w:t xml:space="preserve"> </w:t>
      </w:r>
    </w:p>
    <w:p w14:paraId="07B6046C" w14:textId="77777777" w:rsidR="003E3152" w:rsidRDefault="003E3152" w:rsidP="00B87EFB">
      <w:pPr>
        <w:spacing w:afterLines="120" w:after="288" w:line="360" w:lineRule="auto"/>
        <w:jc w:val="both"/>
        <w:rPr>
          <w:sz w:val="24"/>
          <w:szCs w:val="24"/>
        </w:rPr>
      </w:pPr>
      <w:r w:rsidRPr="003E3152">
        <w:rPr>
          <w:sz w:val="24"/>
          <w:szCs w:val="24"/>
        </w:rPr>
        <w:t>My academic career began in 2004 at Durban University of Technology after a period of employment in industry where I performed accounting, auditing, and information technology functions. Entering academia represented a significant transition. While I possessed disciplinary knowledge and professional experience, I had received no formal preparation as a higher education educator. Consequently, many of my early teaching practices were informed by intuition, observation, and recollections of how I had been taught as a student. At this stage, my responses to student difficulties were practical rather than theoretically informed.</w:t>
      </w:r>
    </w:p>
    <w:p w14:paraId="0B46FFE4" w14:textId="77777777" w:rsidR="00F07603" w:rsidRDefault="00F07603" w:rsidP="00B87EFB">
      <w:pPr>
        <w:spacing w:afterLines="120" w:after="288" w:line="360" w:lineRule="auto"/>
        <w:jc w:val="both"/>
        <w:rPr>
          <w:sz w:val="24"/>
          <w:szCs w:val="24"/>
        </w:rPr>
      </w:pPr>
      <w:r w:rsidRPr="00F07603">
        <w:rPr>
          <w:sz w:val="24"/>
          <w:szCs w:val="24"/>
        </w:rPr>
        <w:t xml:space="preserve">As I moved between institutions including Durban University of Technology, UNISA, MANCOSA, and eventually </w:t>
      </w:r>
      <w:proofErr w:type="spellStart"/>
      <w:r w:rsidRPr="00F07603">
        <w:rPr>
          <w:sz w:val="24"/>
          <w:szCs w:val="24"/>
        </w:rPr>
        <w:t>Mangosuthu</w:t>
      </w:r>
      <w:proofErr w:type="spellEnd"/>
      <w:r w:rsidRPr="00F07603">
        <w:rPr>
          <w:sz w:val="24"/>
          <w:szCs w:val="24"/>
        </w:rPr>
        <w:t xml:space="preserve"> University of Technology, I became increasingly aware of the challenges facing students. Many arrived with uneven educational preparation, varying levels of confidence, and limited access to resources. Some struggled financially while others experienced difficulty adjusting to university expectations and academic culture. My responses during this period typically involved additional consultation, individual guidance, informal mentoring, explanation of difficult concepts, and the sharing of practical strategies for learning.</w:t>
      </w:r>
    </w:p>
    <w:p w14:paraId="39CE5DEC" w14:textId="2D1906CC" w:rsidR="00F07603" w:rsidRDefault="00F07603" w:rsidP="00B87EFB">
      <w:pPr>
        <w:spacing w:afterLines="120" w:after="288" w:line="360" w:lineRule="auto"/>
        <w:jc w:val="both"/>
        <w:rPr>
          <w:sz w:val="24"/>
          <w:szCs w:val="24"/>
        </w:rPr>
      </w:pPr>
      <w:r w:rsidRPr="00F07603">
        <w:rPr>
          <w:sz w:val="24"/>
          <w:szCs w:val="24"/>
        </w:rPr>
        <w:t xml:space="preserve">These interventions were not unusual from my perspective. They appeared to be part of what responsible teaching required. I did not view them as examples of a distinct educational practice. Rather, they emerged naturally from a belief that effective teaching should involve supporting students to succeed despite the challenges they faced. Looking back, however, </w:t>
      </w:r>
      <w:r w:rsidRPr="00F07603">
        <w:rPr>
          <w:sz w:val="24"/>
          <w:szCs w:val="24"/>
        </w:rPr>
        <w:lastRenderedPageBreak/>
        <w:t>these early activities reveal a recurring tendency to respond when institutional arrangements proved insufficient for particular student circumstances. Although I had not yet conceptualised these responses, they represented the beginnings of a pattern that would become significant much later.</w:t>
      </w:r>
    </w:p>
    <w:p w14:paraId="14DB3E34" w14:textId="7A236AB5" w:rsidR="00F07603" w:rsidRDefault="009B32D7" w:rsidP="00B87EFB">
      <w:pPr>
        <w:spacing w:afterLines="120" w:after="288" w:line="360" w:lineRule="auto"/>
        <w:jc w:val="both"/>
        <w:rPr>
          <w:sz w:val="24"/>
          <w:szCs w:val="24"/>
        </w:rPr>
      </w:pPr>
      <w:r w:rsidRPr="009B32D7">
        <w:rPr>
          <w:sz w:val="24"/>
          <w:szCs w:val="24"/>
        </w:rPr>
        <w:t>The doctoral thesis later described my commitment to teaching as a “calling” and emphasised a desire to contribute to nation-building through education. This orientation influenced how I understood the role of the academic and shaped my willingness to engage with student difficulties even when those difficulties extended beyond formal teaching responsibilities. At the time, however, these actions remained unnamed, unexamined, and largely intuitive.</w:t>
      </w:r>
    </w:p>
    <w:p w14:paraId="75F2C3DA" w14:textId="704898B9" w:rsidR="009B32D7" w:rsidRDefault="00AF4D87" w:rsidP="00AF4D87">
      <w:pPr>
        <w:spacing w:afterLines="120" w:after="288" w:line="360" w:lineRule="auto"/>
        <w:jc w:val="both"/>
        <w:rPr>
          <w:sz w:val="24"/>
          <w:szCs w:val="24"/>
        </w:rPr>
      </w:pPr>
      <w:r w:rsidRPr="00AF4D87">
        <w:rPr>
          <w:b/>
          <w:bCs/>
          <w:sz w:val="24"/>
          <w:szCs w:val="24"/>
        </w:rPr>
        <w:t>Incident 1</w:t>
      </w:r>
      <w:r w:rsidR="000F7F20">
        <w:rPr>
          <w:b/>
          <w:bCs/>
          <w:sz w:val="24"/>
          <w:szCs w:val="24"/>
        </w:rPr>
        <w:t>:</w:t>
      </w:r>
      <w:r w:rsidR="00863EE4">
        <w:rPr>
          <w:b/>
          <w:bCs/>
          <w:sz w:val="24"/>
          <w:szCs w:val="24"/>
        </w:rPr>
        <w:t xml:space="preserve"> </w:t>
      </w:r>
      <w:r w:rsidRPr="000F7F20">
        <w:rPr>
          <w:b/>
          <w:bCs/>
          <w:sz w:val="24"/>
          <w:szCs w:val="24"/>
        </w:rPr>
        <w:t>Student under</w:t>
      </w:r>
      <w:r w:rsidR="00863EE4" w:rsidRPr="000F7F20">
        <w:rPr>
          <w:b/>
          <w:bCs/>
          <w:sz w:val="24"/>
          <w:szCs w:val="24"/>
        </w:rPr>
        <w:t>-</w:t>
      </w:r>
      <w:r w:rsidRPr="000F7F20">
        <w:rPr>
          <w:b/>
          <w:bCs/>
          <w:sz w:val="24"/>
          <w:szCs w:val="24"/>
        </w:rPr>
        <w:t>preparedness</w:t>
      </w:r>
    </w:p>
    <w:p w14:paraId="52EE4EC9" w14:textId="235B128A" w:rsidR="009C2C14" w:rsidRDefault="0038161A" w:rsidP="00AF4D87">
      <w:pPr>
        <w:spacing w:afterLines="120" w:after="288" w:line="360" w:lineRule="auto"/>
        <w:jc w:val="both"/>
        <w:rPr>
          <w:sz w:val="24"/>
          <w:szCs w:val="24"/>
        </w:rPr>
      </w:pPr>
      <w:r w:rsidRPr="0038161A">
        <w:rPr>
          <w:sz w:val="24"/>
          <w:szCs w:val="24"/>
        </w:rPr>
        <w:t xml:space="preserve">During my first years in academia, I assumed that students who met university admission requirements possessed the academic foundations needed for tertiary study. </w:t>
      </w:r>
      <w:r w:rsidR="00CE0047" w:rsidRPr="00CE0047">
        <w:rPr>
          <w:sz w:val="24"/>
          <w:szCs w:val="24"/>
        </w:rPr>
        <w:t>I remember marking assessment scripts and becoming increasingly puzzled that students who could reproduce definitions accurately were often unable to explain the same concepts in their own words. During discussions after class, several students admitted that success at school often depended on memorisation rather than understanding. This was one of the first occasions on which I realised that formal admission requirements did not necessarily equate to readiness for university learning.</w:t>
      </w:r>
      <w:r w:rsidR="00F83E29">
        <w:rPr>
          <w:sz w:val="24"/>
          <w:szCs w:val="24"/>
        </w:rPr>
        <w:t xml:space="preserve"> </w:t>
      </w:r>
      <w:r w:rsidRPr="0038161A">
        <w:rPr>
          <w:sz w:val="24"/>
          <w:szCs w:val="24"/>
        </w:rPr>
        <w:t>This experience prompted me to reconsider my assumptions about preparedness and marked one of my earliest recognitions that educational challenges could not be understood solely as individual student deficiencies.</w:t>
      </w:r>
      <w:r>
        <w:rPr>
          <w:sz w:val="24"/>
          <w:szCs w:val="24"/>
        </w:rPr>
        <w:t xml:space="preserve"> </w:t>
      </w:r>
      <w:r w:rsidR="009C2C14" w:rsidRPr="009C2C14">
        <w:rPr>
          <w:sz w:val="24"/>
          <w:szCs w:val="24"/>
        </w:rPr>
        <w:t>I realised that passing matric was not the same as being prepared for university study. Students struggled with independent learning, disciplinary language, and academic writing. My initial response was simply to explain concepts more carefully. Over time, however, I realised that the challenge extended beyond subject knowledge and was connected to broader educational inequalities. This insight changed how I approached teaching and student support.</w:t>
      </w:r>
      <w:r w:rsidR="00075700">
        <w:rPr>
          <w:sz w:val="24"/>
          <w:szCs w:val="24"/>
        </w:rPr>
        <w:t xml:space="preserve"> With my tutors and class</w:t>
      </w:r>
      <w:r w:rsidR="007A2200">
        <w:rPr>
          <w:sz w:val="24"/>
          <w:szCs w:val="24"/>
        </w:rPr>
        <w:t xml:space="preserve"> </w:t>
      </w:r>
      <w:r w:rsidR="007A5C35">
        <w:rPr>
          <w:sz w:val="24"/>
          <w:szCs w:val="24"/>
        </w:rPr>
        <w:t>rep</w:t>
      </w:r>
      <w:r w:rsidR="007A2200">
        <w:rPr>
          <w:sz w:val="24"/>
          <w:szCs w:val="24"/>
        </w:rPr>
        <w:t>resentatives</w:t>
      </w:r>
      <w:r w:rsidR="007A5C35">
        <w:rPr>
          <w:sz w:val="24"/>
          <w:szCs w:val="24"/>
        </w:rPr>
        <w:t xml:space="preserve"> I made a list of words </w:t>
      </w:r>
      <w:r w:rsidR="00673D10">
        <w:rPr>
          <w:sz w:val="24"/>
          <w:szCs w:val="24"/>
        </w:rPr>
        <w:t>and concepts with the equivalent meaning in Zulu</w:t>
      </w:r>
      <w:r w:rsidR="000F7F20">
        <w:rPr>
          <w:sz w:val="24"/>
          <w:szCs w:val="24"/>
        </w:rPr>
        <w:t>, when I mentioned the terminology in their own home language</w:t>
      </w:r>
      <w:r w:rsidR="00395C3E">
        <w:rPr>
          <w:sz w:val="24"/>
          <w:szCs w:val="24"/>
        </w:rPr>
        <w:t>,</w:t>
      </w:r>
      <w:r w:rsidR="006662AA" w:rsidRPr="006662AA">
        <w:rPr>
          <w:sz w:val="24"/>
          <w:szCs w:val="24"/>
        </w:rPr>
        <w:t xml:space="preserve"> </w:t>
      </w:r>
      <w:r w:rsidR="00C70185" w:rsidRPr="00C70185">
        <w:rPr>
          <w:sz w:val="24"/>
          <w:szCs w:val="24"/>
        </w:rPr>
        <w:t>students demonstrated greater confidence and understanding when disciplinary terminology was explained through familiar linguistic references.</w:t>
      </w:r>
    </w:p>
    <w:p w14:paraId="3FA313DF" w14:textId="3A9C8DB0" w:rsidR="00BE0C02" w:rsidRDefault="003772D8" w:rsidP="00595652">
      <w:pPr>
        <w:spacing w:afterLines="120" w:after="288" w:line="360" w:lineRule="auto"/>
        <w:jc w:val="both"/>
        <w:rPr>
          <w:b/>
          <w:bCs/>
          <w:sz w:val="24"/>
          <w:szCs w:val="24"/>
        </w:rPr>
      </w:pPr>
      <w:r>
        <w:rPr>
          <w:b/>
          <w:bCs/>
          <w:sz w:val="24"/>
          <w:szCs w:val="24"/>
        </w:rPr>
        <w:lastRenderedPageBreak/>
        <w:t xml:space="preserve">4.2 </w:t>
      </w:r>
      <w:r w:rsidR="00BE0C02" w:rsidRPr="00BE0C02">
        <w:rPr>
          <w:b/>
          <w:bCs/>
          <w:sz w:val="24"/>
          <w:szCs w:val="24"/>
        </w:rPr>
        <w:t>Phase 2 (2015): Reflective Turning Point</w:t>
      </w:r>
    </w:p>
    <w:p w14:paraId="6D722C81" w14:textId="77777777" w:rsidR="00934B64" w:rsidRPr="00934B64" w:rsidRDefault="00934B64" w:rsidP="00934B64">
      <w:pPr>
        <w:spacing w:afterLines="120" w:after="288" w:line="360" w:lineRule="auto"/>
        <w:jc w:val="both"/>
        <w:rPr>
          <w:sz w:val="24"/>
          <w:szCs w:val="24"/>
        </w:rPr>
      </w:pPr>
      <w:r w:rsidRPr="00934B64">
        <w:rPr>
          <w:sz w:val="24"/>
          <w:szCs w:val="24"/>
        </w:rPr>
        <w:t>A significant change occurred during my participation in the Postgraduate Diploma in Higher Education at Rhodes University. This experience created opportunities to examine my educational practice critically and systematically. For the first time, I encountered concepts such as reflective practice, curriculum development, student learning theory, assessment for learning, educational evaluation, and postgraduate supervision as objects of scholarly inquiry rather than everyday activities.</w:t>
      </w:r>
    </w:p>
    <w:p w14:paraId="4E8A1690" w14:textId="47E1EA91" w:rsidR="00934B64" w:rsidRPr="00934B64" w:rsidRDefault="00934B64" w:rsidP="00934B64">
      <w:pPr>
        <w:spacing w:afterLines="120" w:after="288" w:line="360" w:lineRule="auto"/>
        <w:jc w:val="both"/>
        <w:rPr>
          <w:sz w:val="24"/>
          <w:szCs w:val="24"/>
        </w:rPr>
      </w:pPr>
      <w:r w:rsidRPr="00934B64">
        <w:rPr>
          <w:sz w:val="24"/>
          <w:szCs w:val="24"/>
        </w:rPr>
        <w:t xml:space="preserve">The portfolio produced during this period captured several moments of growing discomfort. </w:t>
      </w:r>
      <w:r w:rsidR="00912C35" w:rsidRPr="00912C35">
        <w:rPr>
          <w:sz w:val="24"/>
          <w:szCs w:val="24"/>
        </w:rPr>
        <w:t xml:space="preserve">During the </w:t>
      </w:r>
      <w:proofErr w:type="spellStart"/>
      <w:r w:rsidR="00912C35" w:rsidRPr="00912C35">
        <w:rPr>
          <w:sz w:val="24"/>
          <w:szCs w:val="24"/>
        </w:rPr>
        <w:t>PGDipHE</w:t>
      </w:r>
      <w:proofErr w:type="spellEnd"/>
      <w:r w:rsidR="00912C35" w:rsidRPr="00912C35">
        <w:rPr>
          <w:sz w:val="24"/>
          <w:szCs w:val="24"/>
        </w:rPr>
        <w:t xml:space="preserve"> I reflected that I had “become uneasy with the results my students produce” and questioned whether the marks they achieved represented genuine understanding or merely the reproduction of information. For the first time, I began critically examining my own assumptions about teaching, assessment, and student learning.</w:t>
      </w:r>
      <w:r w:rsidR="009C300E">
        <w:rPr>
          <w:sz w:val="24"/>
          <w:szCs w:val="24"/>
        </w:rPr>
        <w:t xml:space="preserve"> </w:t>
      </w:r>
      <w:r w:rsidRPr="00934B64">
        <w:rPr>
          <w:sz w:val="24"/>
          <w:szCs w:val="24"/>
        </w:rPr>
        <w:t>I also became increasingly conscious of how students experienced higher education and whether institutional measures of success adequately reflected their circumstances. These reflections marked a departure from simply responding to problems and initiated a process of questioning the assumptions underpinning my work.</w:t>
      </w:r>
    </w:p>
    <w:p w14:paraId="18A35094" w14:textId="77777777" w:rsidR="00934B64" w:rsidRPr="00934B64" w:rsidRDefault="00934B64" w:rsidP="00934B64">
      <w:pPr>
        <w:spacing w:afterLines="120" w:after="288" w:line="360" w:lineRule="auto"/>
        <w:jc w:val="both"/>
        <w:rPr>
          <w:sz w:val="24"/>
          <w:szCs w:val="24"/>
        </w:rPr>
      </w:pPr>
      <w:r w:rsidRPr="00934B64">
        <w:rPr>
          <w:sz w:val="24"/>
          <w:szCs w:val="24"/>
        </w:rPr>
        <w:t>The portfolio documented recurring challenges that students faced, including poverty, food insecurity, textbook affordability, language barriers, large class sizes, and educational under-preparedness. I observed that some students could not purchase prescribed textbooks, struggled to communicate effectively in English, or arrived at university with limited experience of independent learning. I also reflected on institutional pressures relating to throughput, class sizes, and workload expectations. For the first time, these issues appeared not as isolated difficulties but as interconnected features of the educational environment.</w:t>
      </w:r>
    </w:p>
    <w:p w14:paraId="026232DA" w14:textId="44B05AC4" w:rsidR="00BE0C02" w:rsidRDefault="00934B64" w:rsidP="00934B64">
      <w:pPr>
        <w:spacing w:afterLines="120" w:after="288" w:line="360" w:lineRule="auto"/>
        <w:jc w:val="both"/>
        <w:rPr>
          <w:sz w:val="24"/>
          <w:szCs w:val="24"/>
        </w:rPr>
      </w:pPr>
      <w:r w:rsidRPr="00934B64">
        <w:rPr>
          <w:sz w:val="24"/>
          <w:szCs w:val="24"/>
        </w:rPr>
        <w:t xml:space="preserve">Importantly, the </w:t>
      </w:r>
      <w:proofErr w:type="spellStart"/>
      <w:r w:rsidRPr="00934B64">
        <w:rPr>
          <w:sz w:val="24"/>
          <w:szCs w:val="24"/>
        </w:rPr>
        <w:t>PGDipHE</w:t>
      </w:r>
      <w:proofErr w:type="spellEnd"/>
      <w:r w:rsidRPr="00934B64">
        <w:rPr>
          <w:sz w:val="24"/>
          <w:szCs w:val="24"/>
        </w:rPr>
        <w:t xml:space="preserve"> portfolio showed evidence of increasing self-awareness. Statements such as “I became more conscious,” “I questioned myself,” and “I became uneasy” revealed a growing recognition that educational practice involved more than content delivery and assessment. </w:t>
      </w:r>
      <w:r w:rsidR="00C07C75" w:rsidRPr="00C07C75">
        <w:rPr>
          <w:sz w:val="24"/>
          <w:szCs w:val="24"/>
        </w:rPr>
        <w:t xml:space="preserve">This unease was not directed at students. Rather, it was directed at myself. I began questioning whether my teaching methods were helping students understand accounting concepts or merely helping them pass assessments. For the first time, I recognised </w:t>
      </w:r>
      <w:r w:rsidR="00C07C75" w:rsidRPr="00C07C75">
        <w:rPr>
          <w:sz w:val="24"/>
          <w:szCs w:val="24"/>
        </w:rPr>
        <w:lastRenderedPageBreak/>
        <w:t>that improving student learning required me to reflect critically on my own assumptions and practices.</w:t>
      </w:r>
      <w:r w:rsidR="00FB7B04">
        <w:rPr>
          <w:sz w:val="24"/>
          <w:szCs w:val="24"/>
        </w:rPr>
        <w:t xml:space="preserve"> </w:t>
      </w:r>
      <w:r w:rsidRPr="00934B64">
        <w:rPr>
          <w:sz w:val="24"/>
          <w:szCs w:val="24"/>
        </w:rPr>
        <w:t>The process encouraged me to think critically about how academics respond to structural constraints while remaining committed to student learning. Although a formal theory had not yet emerged, a new reflective stance was developing.</w:t>
      </w:r>
    </w:p>
    <w:p w14:paraId="2653E72B" w14:textId="299D3008" w:rsidR="00D25AE1" w:rsidRDefault="00D351D3" w:rsidP="00B87EFB">
      <w:pPr>
        <w:spacing w:afterLines="120" w:after="288" w:line="360" w:lineRule="auto"/>
        <w:jc w:val="both"/>
        <w:rPr>
          <w:b/>
          <w:bCs/>
          <w:sz w:val="24"/>
          <w:szCs w:val="24"/>
        </w:rPr>
      </w:pPr>
      <w:r>
        <w:rPr>
          <w:b/>
          <w:bCs/>
          <w:sz w:val="24"/>
          <w:szCs w:val="24"/>
        </w:rPr>
        <w:t xml:space="preserve">4.3 </w:t>
      </w:r>
      <w:r w:rsidR="001040BA" w:rsidRPr="001040BA">
        <w:rPr>
          <w:b/>
          <w:bCs/>
          <w:sz w:val="24"/>
          <w:szCs w:val="24"/>
        </w:rPr>
        <w:t>Phase 3 (2016–2019): Seeing Contradictions</w:t>
      </w:r>
    </w:p>
    <w:p w14:paraId="7C5893CD" w14:textId="77777777" w:rsidR="00D25AE1" w:rsidRPr="00D25AE1" w:rsidRDefault="00D25AE1" w:rsidP="00D25AE1">
      <w:pPr>
        <w:spacing w:afterLines="120" w:after="288" w:line="360" w:lineRule="auto"/>
        <w:jc w:val="both"/>
        <w:rPr>
          <w:sz w:val="24"/>
          <w:szCs w:val="24"/>
        </w:rPr>
      </w:pPr>
      <w:r w:rsidRPr="00D25AE1">
        <w:rPr>
          <w:sz w:val="24"/>
          <w:szCs w:val="24"/>
        </w:rPr>
        <w:t xml:space="preserve">Following the completion of the </w:t>
      </w:r>
      <w:proofErr w:type="spellStart"/>
      <w:r w:rsidRPr="00D25AE1">
        <w:rPr>
          <w:sz w:val="24"/>
          <w:szCs w:val="24"/>
        </w:rPr>
        <w:t>PGDipHE</w:t>
      </w:r>
      <w:proofErr w:type="spellEnd"/>
      <w:r w:rsidRPr="00D25AE1">
        <w:rPr>
          <w:sz w:val="24"/>
          <w:szCs w:val="24"/>
        </w:rPr>
        <w:t>, the tensions identified through reflection became increasingly visible in everyday academic practice. Rather than disappearing, they became more pronounced as institutional expectations expanded. Academics were expected to maintain high student success rates, increase research productivity, undertake administrative responsibilities, contribute to quality assurance processes, and support institutional transformation initiatives simultaneously.</w:t>
      </w:r>
    </w:p>
    <w:p w14:paraId="2BDAF10B" w14:textId="77777777" w:rsidR="00D25AE1" w:rsidRPr="00D25AE1" w:rsidRDefault="00D25AE1" w:rsidP="00D25AE1">
      <w:pPr>
        <w:spacing w:afterLines="120" w:after="288" w:line="360" w:lineRule="auto"/>
        <w:jc w:val="both"/>
        <w:rPr>
          <w:sz w:val="24"/>
          <w:szCs w:val="24"/>
        </w:rPr>
      </w:pPr>
      <w:r w:rsidRPr="00D25AE1">
        <w:rPr>
          <w:sz w:val="24"/>
          <w:szCs w:val="24"/>
        </w:rPr>
        <w:t>One contradiction that became particularly apparent involved throughput expectations. Universities required improved success rates, yet many students continued to face conditions that undermined their participation in learning. Educational disadvantage, poverty, language barriers, accommodation problems, and limited access to technology remained persistent realities. The responsibility for managing these tensions frequently fell on academics who occupied the space between policy implementation and student experience.</w:t>
      </w:r>
    </w:p>
    <w:p w14:paraId="74CC65B1" w14:textId="77777777" w:rsidR="00D25AE1" w:rsidRPr="00D25AE1" w:rsidRDefault="00D25AE1" w:rsidP="00D25AE1">
      <w:pPr>
        <w:spacing w:afterLines="120" w:after="288" w:line="360" w:lineRule="auto"/>
        <w:jc w:val="both"/>
        <w:rPr>
          <w:sz w:val="24"/>
          <w:szCs w:val="24"/>
        </w:rPr>
      </w:pPr>
      <w:r w:rsidRPr="00D25AE1">
        <w:rPr>
          <w:sz w:val="24"/>
          <w:szCs w:val="24"/>
        </w:rPr>
        <w:t>Workload pressures created an additional contradiction. Research outputs, postgraduate qualifications, teaching excellence, community engagement, and administrative compliance all competed for limited time and resources. At the same time, students continued to require individual support, consultation, mentoring, and guidance. The gap between institutional requirements and available capacity became increasingly difficult to ignore.</w:t>
      </w:r>
    </w:p>
    <w:p w14:paraId="77CEB523" w14:textId="4B2FEFD6" w:rsidR="00D25AE1" w:rsidRDefault="00D25AE1" w:rsidP="00D25AE1">
      <w:pPr>
        <w:spacing w:afterLines="120" w:after="288" w:line="360" w:lineRule="auto"/>
        <w:jc w:val="both"/>
        <w:rPr>
          <w:sz w:val="24"/>
          <w:szCs w:val="24"/>
        </w:rPr>
      </w:pPr>
      <w:r w:rsidRPr="00D25AE1">
        <w:rPr>
          <w:sz w:val="24"/>
          <w:szCs w:val="24"/>
        </w:rPr>
        <w:t xml:space="preserve">During this period, I became increasingly aware that many responses to these challenges involved forms of mediation. Students were referred to support structures, alternative learning opportunities were created, additional explanations were provided, flexibility was exercised where appropriate, and efforts were made to negotiate educational continuity despite structural constraints. These actions appeared repeatedly across teaching, </w:t>
      </w:r>
      <w:r w:rsidRPr="00D25AE1">
        <w:rPr>
          <w:sz w:val="24"/>
          <w:szCs w:val="24"/>
        </w:rPr>
        <w:lastRenderedPageBreak/>
        <w:t>assessment, mentoring, and academic support activities. However, although the pattern was visible, it remained unnamed.</w:t>
      </w:r>
    </w:p>
    <w:p w14:paraId="391F95A3" w14:textId="77777777" w:rsidR="002A0D75" w:rsidRDefault="002A0D75" w:rsidP="00D25AE1">
      <w:pPr>
        <w:spacing w:afterLines="120" w:after="288" w:line="360" w:lineRule="auto"/>
        <w:jc w:val="both"/>
        <w:rPr>
          <w:sz w:val="24"/>
          <w:szCs w:val="24"/>
        </w:rPr>
      </w:pPr>
    </w:p>
    <w:p w14:paraId="674FA8B2" w14:textId="56427D59" w:rsidR="009C300E" w:rsidRDefault="00447486" w:rsidP="00447486">
      <w:pPr>
        <w:spacing w:afterLines="120" w:after="288" w:line="360" w:lineRule="auto"/>
        <w:jc w:val="both"/>
        <w:rPr>
          <w:b/>
          <w:bCs/>
          <w:sz w:val="24"/>
          <w:szCs w:val="24"/>
        </w:rPr>
      </w:pPr>
      <w:r w:rsidRPr="00447486">
        <w:rPr>
          <w:b/>
          <w:bCs/>
          <w:sz w:val="24"/>
          <w:szCs w:val="24"/>
        </w:rPr>
        <w:t>Incident 2</w:t>
      </w:r>
      <w:r>
        <w:rPr>
          <w:b/>
          <w:bCs/>
          <w:sz w:val="24"/>
          <w:szCs w:val="24"/>
        </w:rPr>
        <w:t xml:space="preserve">: </w:t>
      </w:r>
      <w:r w:rsidRPr="00447486">
        <w:rPr>
          <w:b/>
          <w:bCs/>
          <w:sz w:val="24"/>
          <w:szCs w:val="24"/>
        </w:rPr>
        <w:t>At-risk students</w:t>
      </w:r>
    </w:p>
    <w:p w14:paraId="44778217" w14:textId="3D356C11" w:rsidR="000C6D8C" w:rsidRDefault="00751F1B" w:rsidP="006F78C1">
      <w:pPr>
        <w:spacing w:afterLines="120" w:after="288" w:line="360" w:lineRule="auto"/>
        <w:jc w:val="both"/>
        <w:rPr>
          <w:sz w:val="24"/>
          <w:szCs w:val="24"/>
        </w:rPr>
      </w:pPr>
      <w:r w:rsidRPr="00751F1B">
        <w:rPr>
          <w:sz w:val="24"/>
          <w:szCs w:val="24"/>
        </w:rPr>
        <w:t>A critical development occurred through my work with students who failed assessments. Rather than treating poor performance as an individual deficiency, I began writing “SEE ME” on scripts and meeting students individually to discuss the reasons behind their difficulties.</w:t>
      </w:r>
      <w:r w:rsidR="00237F16">
        <w:rPr>
          <w:sz w:val="24"/>
          <w:szCs w:val="24"/>
        </w:rPr>
        <w:t xml:space="preserve"> </w:t>
      </w:r>
      <w:r w:rsidR="00237F16" w:rsidRPr="00237F16">
        <w:rPr>
          <w:sz w:val="24"/>
          <w:szCs w:val="24"/>
        </w:rPr>
        <w:t>These meetings were initially intended as academic consultations. However, they frequently became conversations about circumstances that were invisible in examination scripts.</w:t>
      </w:r>
      <w:r w:rsidR="005D79A5">
        <w:rPr>
          <w:sz w:val="24"/>
          <w:szCs w:val="24"/>
        </w:rPr>
        <w:t xml:space="preserve"> </w:t>
      </w:r>
      <w:r w:rsidR="005D79A5" w:rsidRPr="005D79A5">
        <w:rPr>
          <w:sz w:val="24"/>
          <w:szCs w:val="24"/>
        </w:rPr>
        <w:t>Initially, I expected students to explain poor performance in academic terms. Instead, many conversations revealed transport difficulties, delayed funding, family responsibilities and uncertainty about belonging at university. These discussions shifted my focus from assessment outcomes alone towards understanding the conditions that shaped student participation.</w:t>
      </w:r>
      <w:r w:rsidR="005D79A5">
        <w:rPr>
          <w:sz w:val="24"/>
          <w:szCs w:val="24"/>
        </w:rPr>
        <w:t xml:space="preserve"> </w:t>
      </w:r>
      <w:r w:rsidRPr="00751F1B">
        <w:rPr>
          <w:sz w:val="24"/>
          <w:szCs w:val="24"/>
        </w:rPr>
        <w:t>I gradually recognised that educational performance could not be separated from students’ lived realities.</w:t>
      </w:r>
    </w:p>
    <w:p w14:paraId="0BD05DBB" w14:textId="7C20D029" w:rsidR="000F5B49" w:rsidRDefault="00D351D3" w:rsidP="006F78C1">
      <w:pPr>
        <w:spacing w:afterLines="120" w:after="288" w:line="360" w:lineRule="auto"/>
        <w:jc w:val="both"/>
        <w:rPr>
          <w:b/>
          <w:bCs/>
          <w:sz w:val="24"/>
          <w:szCs w:val="24"/>
        </w:rPr>
      </w:pPr>
      <w:r>
        <w:rPr>
          <w:b/>
          <w:bCs/>
          <w:sz w:val="24"/>
          <w:szCs w:val="24"/>
        </w:rPr>
        <w:t xml:space="preserve">4.4 </w:t>
      </w:r>
      <w:r w:rsidR="000F5B49" w:rsidRPr="000F5B49">
        <w:rPr>
          <w:b/>
          <w:bCs/>
          <w:sz w:val="24"/>
          <w:szCs w:val="24"/>
        </w:rPr>
        <w:t>Phase 4 (2020–2024): Conflict Intensifies</w:t>
      </w:r>
    </w:p>
    <w:p w14:paraId="23258910" w14:textId="77777777" w:rsidR="00A40FB9" w:rsidRPr="00A40FB9" w:rsidRDefault="00A40FB9" w:rsidP="00A40FB9">
      <w:pPr>
        <w:spacing w:afterLines="120" w:after="288" w:line="360" w:lineRule="auto"/>
        <w:jc w:val="both"/>
        <w:rPr>
          <w:sz w:val="24"/>
          <w:szCs w:val="24"/>
        </w:rPr>
      </w:pPr>
      <w:r w:rsidRPr="00A40FB9">
        <w:rPr>
          <w:sz w:val="24"/>
          <w:szCs w:val="24"/>
        </w:rPr>
        <w:t>The emergence of COVID-19 intensified existing contradictions and exposed new ones. The rapid transition to digitally supported teaching highlighted vast inequalities in access to technology, connectivity, and learning environments. While higher education institutions increasingly relied on online and blended learning models, many students lacked devices, data, stable internet connectivity, and suitable study environments.</w:t>
      </w:r>
    </w:p>
    <w:p w14:paraId="34E73789" w14:textId="77777777" w:rsidR="00A40FB9" w:rsidRPr="00A40FB9" w:rsidRDefault="00A40FB9" w:rsidP="00A40FB9">
      <w:pPr>
        <w:spacing w:afterLines="120" w:after="288" w:line="360" w:lineRule="auto"/>
        <w:jc w:val="both"/>
        <w:rPr>
          <w:sz w:val="24"/>
          <w:szCs w:val="24"/>
        </w:rPr>
      </w:pPr>
      <w:r w:rsidRPr="00A40FB9">
        <w:rPr>
          <w:sz w:val="24"/>
          <w:szCs w:val="24"/>
        </w:rPr>
        <w:t>At the same time, the social and economic vulnerabilities of students became more visible. My doctoral inquiry documented student experiences of poverty, hunger, inadequate accommodation, and financial instability. Some students struggled to access food, while others supported family members using limited financial aid resources. Academic participation was often shaped as much by socio-economic conditions as by educational ability.</w:t>
      </w:r>
    </w:p>
    <w:p w14:paraId="300C2724" w14:textId="235E49C1" w:rsidR="00A40FB9" w:rsidRPr="00A40FB9" w:rsidRDefault="00A40FB9" w:rsidP="00A40FB9">
      <w:pPr>
        <w:spacing w:afterLines="120" w:after="288" w:line="360" w:lineRule="auto"/>
        <w:jc w:val="both"/>
        <w:rPr>
          <w:sz w:val="24"/>
          <w:szCs w:val="24"/>
        </w:rPr>
      </w:pPr>
      <w:r w:rsidRPr="00A40FB9">
        <w:rPr>
          <w:sz w:val="24"/>
          <w:szCs w:val="24"/>
        </w:rPr>
        <w:lastRenderedPageBreak/>
        <w:t>It was during this period that the concept of the living contradiction, described by Whitehead (2018), became personally meaningful. I increasingly found myself attempting to uphold values of care, inclusion, dignity, and educational opportunity while operating within systems that often</w:t>
      </w:r>
      <w:r w:rsidR="009B7FE9">
        <w:rPr>
          <w:sz w:val="24"/>
          <w:szCs w:val="24"/>
        </w:rPr>
        <w:t xml:space="preserve"> </w:t>
      </w:r>
      <w:r w:rsidRPr="00A40FB9">
        <w:rPr>
          <w:sz w:val="24"/>
          <w:szCs w:val="24"/>
        </w:rPr>
        <w:t>assumed student preparedness and resource availability. The contradiction between institutional expectations and lived realities was no longer peripheral. It became central to my understanding of academic work.</w:t>
      </w:r>
    </w:p>
    <w:p w14:paraId="1DCCFA8A" w14:textId="6D499CDB" w:rsidR="00321ECC" w:rsidRDefault="00A40FB9" w:rsidP="00A40FB9">
      <w:pPr>
        <w:spacing w:afterLines="120" w:after="288" w:line="360" w:lineRule="auto"/>
        <w:jc w:val="both"/>
        <w:rPr>
          <w:sz w:val="24"/>
          <w:szCs w:val="24"/>
        </w:rPr>
      </w:pPr>
      <w:r w:rsidRPr="00A40FB9">
        <w:rPr>
          <w:sz w:val="24"/>
          <w:szCs w:val="24"/>
        </w:rPr>
        <w:t>The doctoral research provided a structured opportunity to investigate these experiences more deeply. Through interviews, documentary analysis, systems thinking, and reflection, patterns began to emerge across different areas of practice. Recurring tensions were identified not only in teaching and learning but also in workload, administration, student support, mentoring, and community engagement. The doctoral study labelled these experiences as conflicting practices, but the explanation of how academics responded to them remained incomplete.</w:t>
      </w:r>
    </w:p>
    <w:p w14:paraId="58810208" w14:textId="3A45CEEB" w:rsidR="000C6D8C" w:rsidRPr="000C6D8C" w:rsidRDefault="000C6D8C" w:rsidP="000C6D8C">
      <w:pPr>
        <w:spacing w:afterLines="120" w:after="288" w:line="360" w:lineRule="auto"/>
        <w:jc w:val="both"/>
        <w:rPr>
          <w:b/>
          <w:bCs/>
          <w:sz w:val="24"/>
          <w:szCs w:val="24"/>
        </w:rPr>
      </w:pPr>
      <w:r w:rsidRPr="000C6D8C">
        <w:rPr>
          <w:b/>
          <w:bCs/>
          <w:sz w:val="24"/>
          <w:szCs w:val="24"/>
        </w:rPr>
        <w:t xml:space="preserve">Incident 3: </w:t>
      </w:r>
      <w:r w:rsidR="00B6236A">
        <w:rPr>
          <w:b/>
          <w:bCs/>
          <w:sz w:val="24"/>
          <w:szCs w:val="24"/>
        </w:rPr>
        <w:t>P</w:t>
      </w:r>
      <w:r w:rsidR="00B6236A" w:rsidRPr="00B6236A">
        <w:rPr>
          <w:b/>
          <w:bCs/>
          <w:sz w:val="24"/>
          <w:szCs w:val="24"/>
        </w:rPr>
        <w:t>overty and food insecurity</w:t>
      </w:r>
    </w:p>
    <w:p w14:paraId="3E32462C" w14:textId="7A294974" w:rsidR="000C6D8C" w:rsidRDefault="006E46B8" w:rsidP="00A40FB9">
      <w:pPr>
        <w:spacing w:afterLines="120" w:after="288" w:line="360" w:lineRule="auto"/>
        <w:jc w:val="both"/>
        <w:rPr>
          <w:sz w:val="24"/>
          <w:szCs w:val="24"/>
        </w:rPr>
      </w:pPr>
      <w:r w:rsidRPr="006E46B8">
        <w:rPr>
          <w:sz w:val="24"/>
          <w:szCs w:val="24"/>
        </w:rPr>
        <w:t xml:space="preserve">During my doctoral inquiry I became increasingly confronted by the effects of poverty and food insecurity. Students frequently reported arriving at class hungry, struggling to concentrate, and using financial aid not only for themselves but also to support family members. </w:t>
      </w:r>
      <w:r w:rsidR="00C534F6" w:rsidRPr="00C534F6">
        <w:rPr>
          <w:sz w:val="24"/>
          <w:szCs w:val="24"/>
        </w:rPr>
        <w:t>One student explained that part of the NSFAS allowance was regularly sent home to assist family members.</w:t>
      </w:r>
      <w:r w:rsidR="00BF30E6">
        <w:rPr>
          <w:sz w:val="24"/>
          <w:szCs w:val="24"/>
        </w:rPr>
        <w:t xml:space="preserve"> </w:t>
      </w:r>
      <w:r w:rsidR="00C534F6" w:rsidRPr="00C534F6">
        <w:rPr>
          <w:sz w:val="24"/>
          <w:szCs w:val="24"/>
        </w:rPr>
        <w:t>Another described struggling to concentrate during lectures because food was often unavailable. Such conversations challenged institutional assumptions that attendance and participation were simply matters of student choice.</w:t>
      </w:r>
      <w:r w:rsidR="00C534F6">
        <w:rPr>
          <w:sz w:val="24"/>
          <w:szCs w:val="24"/>
        </w:rPr>
        <w:t xml:space="preserve"> </w:t>
      </w:r>
      <w:r w:rsidRPr="006E46B8">
        <w:rPr>
          <w:sz w:val="24"/>
          <w:szCs w:val="24"/>
        </w:rPr>
        <w:t>These realities forced me to confront the limitations of institutional assumptions about student participation.</w:t>
      </w:r>
      <w:r w:rsidR="00BF30E6">
        <w:rPr>
          <w:sz w:val="24"/>
          <w:szCs w:val="24"/>
        </w:rPr>
        <w:t xml:space="preserve"> </w:t>
      </w:r>
      <w:r w:rsidR="00A7418F" w:rsidRPr="00A7418F">
        <w:rPr>
          <w:sz w:val="24"/>
          <w:szCs w:val="24"/>
        </w:rPr>
        <w:t>I realised that institutional discussions about attendance, participation and performance rarely acknowledged these realities. The challenge was no longer how to teach accounting more effectively. The challenge was how meaningful learning could occur when basic needs remained unmet.</w:t>
      </w:r>
    </w:p>
    <w:p w14:paraId="0C34A6A0" w14:textId="14EDF822" w:rsidR="00B87EFB" w:rsidRDefault="00AD06AB" w:rsidP="00B87EFB">
      <w:pPr>
        <w:spacing w:afterLines="120" w:after="288" w:line="360" w:lineRule="auto"/>
        <w:jc w:val="both"/>
        <w:rPr>
          <w:sz w:val="24"/>
          <w:szCs w:val="24"/>
        </w:rPr>
      </w:pPr>
      <w:r w:rsidRPr="00AD06AB">
        <w:rPr>
          <w:b/>
          <w:bCs/>
          <w:sz w:val="24"/>
          <w:szCs w:val="24"/>
        </w:rPr>
        <w:t xml:space="preserve">Phase 5: </w:t>
      </w:r>
      <w:r w:rsidR="006D1D86" w:rsidRPr="006D1D86">
        <w:rPr>
          <w:b/>
          <w:bCs/>
          <w:sz w:val="24"/>
          <w:szCs w:val="24"/>
        </w:rPr>
        <w:t>Human Buffering Emergence</w:t>
      </w:r>
    </w:p>
    <w:p w14:paraId="23ED1D96" w14:textId="77777777" w:rsidR="00C76CC3" w:rsidRPr="00C76CC3" w:rsidRDefault="00C76CC3" w:rsidP="00C76CC3">
      <w:pPr>
        <w:spacing w:afterLines="120" w:after="288" w:line="360" w:lineRule="auto"/>
        <w:jc w:val="both"/>
        <w:rPr>
          <w:sz w:val="24"/>
          <w:szCs w:val="24"/>
        </w:rPr>
      </w:pPr>
      <w:r w:rsidRPr="00C76CC3">
        <w:rPr>
          <w:sz w:val="24"/>
          <w:szCs w:val="24"/>
        </w:rPr>
        <w:lastRenderedPageBreak/>
        <w:t>The final phase involved recognising a recurring pattern that had been present throughout the journey but had remained conceptually invisible. Across multiple contexts, I repeatedly encountered situations where institutional expectations collided with student realities. In response, actions were undertaken to support participation, maintain learning continuity, preserve dignity, and create educational possibilities despite constraints.</w:t>
      </w:r>
    </w:p>
    <w:p w14:paraId="496BA6F2" w14:textId="77777777" w:rsidR="00FC055F" w:rsidRDefault="00FC055F" w:rsidP="00C76CC3">
      <w:pPr>
        <w:spacing w:afterLines="120" w:after="288" w:line="360" w:lineRule="auto"/>
        <w:jc w:val="both"/>
        <w:rPr>
          <w:sz w:val="24"/>
          <w:szCs w:val="24"/>
        </w:rPr>
      </w:pPr>
      <w:r w:rsidRPr="00FC055F">
        <w:rPr>
          <w:sz w:val="24"/>
          <w:szCs w:val="24"/>
        </w:rPr>
        <w:t>In revisiting these incidents, a consistent pattern became visible. Whether supporting students experiencing hardship, navigating institutional requirements, adapting learning opportunities, mentoring colleagues, or responding to community needs, the underlying activity remained remarkably similar. I was repeatedly attempting to mediate between institutional systems and human realities. What had initially appeared to be isolated acts of support gradually became recognisable as a coherent educational practice. This growing recognition ultimately led to the concept of Human Buffering.</w:t>
      </w:r>
    </w:p>
    <w:p w14:paraId="7C1A418E" w14:textId="4463F2EF" w:rsidR="00C76CC3" w:rsidRPr="00C76CC3" w:rsidRDefault="00C76CC3" w:rsidP="00C76CC3">
      <w:pPr>
        <w:spacing w:afterLines="120" w:after="288" w:line="360" w:lineRule="auto"/>
        <w:jc w:val="both"/>
        <w:rPr>
          <w:sz w:val="24"/>
          <w:szCs w:val="24"/>
        </w:rPr>
      </w:pPr>
      <w:r w:rsidRPr="00C76CC3">
        <w:rPr>
          <w:sz w:val="24"/>
          <w:szCs w:val="24"/>
        </w:rPr>
        <w:t>What became visible was not a single intervention, but a recurring educational practice. The practice involved creating space between institutional pressures and student vulnerabilities in ways intended to sustain educational participation. Through retrospective analysis, this recurring mediation was identified, named, and conceptualised as Human Buffering.</w:t>
      </w:r>
    </w:p>
    <w:p w14:paraId="56E1A7AB" w14:textId="602FFAC7" w:rsidR="00AD06AB" w:rsidRDefault="00C76CC3" w:rsidP="00C76CC3">
      <w:pPr>
        <w:spacing w:afterLines="120" w:after="288" w:line="360" w:lineRule="auto"/>
        <w:jc w:val="both"/>
        <w:rPr>
          <w:sz w:val="24"/>
          <w:szCs w:val="24"/>
        </w:rPr>
      </w:pPr>
      <w:r w:rsidRPr="00C76CC3">
        <w:rPr>
          <w:sz w:val="24"/>
          <w:szCs w:val="24"/>
        </w:rPr>
        <w:t>The emergence of Human Buffering was therefore not the result of abstract theoretical construction. Rather, it arose from twenty years of lived educational practice, critical reflection, and inquiry. The journey itself became the source of the theory.</w:t>
      </w:r>
    </w:p>
    <w:p w14:paraId="5315BBBC" w14:textId="77777777" w:rsidR="00444554" w:rsidRDefault="00444554" w:rsidP="00835B47">
      <w:pPr>
        <w:spacing w:afterLines="120" w:after="288" w:line="360" w:lineRule="auto"/>
        <w:jc w:val="both"/>
        <w:rPr>
          <w:b/>
          <w:bCs/>
          <w:sz w:val="24"/>
          <w:szCs w:val="24"/>
        </w:rPr>
      </w:pPr>
      <w:r w:rsidRPr="00444554">
        <w:rPr>
          <w:b/>
          <w:bCs/>
          <w:sz w:val="24"/>
          <w:szCs w:val="24"/>
        </w:rPr>
        <w:t>5. Findings</w:t>
      </w:r>
      <w:r>
        <w:rPr>
          <w:b/>
          <w:bCs/>
          <w:sz w:val="24"/>
          <w:szCs w:val="24"/>
        </w:rPr>
        <w:t xml:space="preserve"> </w:t>
      </w:r>
    </w:p>
    <w:p w14:paraId="4234922A" w14:textId="56C8189D" w:rsidR="00025040" w:rsidRDefault="005F4882" w:rsidP="00B87EFB">
      <w:pPr>
        <w:spacing w:afterLines="120" w:after="288" w:line="360" w:lineRule="auto"/>
        <w:jc w:val="both"/>
        <w:rPr>
          <w:sz w:val="24"/>
          <w:szCs w:val="24"/>
        </w:rPr>
      </w:pPr>
      <w:r w:rsidRPr="005F4882">
        <w:rPr>
          <w:sz w:val="24"/>
          <w:szCs w:val="24"/>
        </w:rPr>
        <w:t>The analysis revealed four interrelated themes that consistently appeared across the evidence base. Taken together, they demonstrate how conflicting practices emerged within the everyday work of an academic operating in a South African University of Technology. These themes do not represent isolated challenges. Rather, they illustrate the interconnected tensions between institutional expectations, student realities, academic responsibilities, and wider community obligations. It was within these tensions that the practices later conceptualised as Human Buffering became visible.</w:t>
      </w:r>
    </w:p>
    <w:p w14:paraId="5ACD83BD" w14:textId="77777777" w:rsidR="00F80C74" w:rsidRDefault="00F80C74" w:rsidP="00B87EFB">
      <w:pPr>
        <w:spacing w:afterLines="120" w:after="288" w:line="360" w:lineRule="auto"/>
        <w:jc w:val="both"/>
        <w:rPr>
          <w:b/>
          <w:bCs/>
          <w:sz w:val="24"/>
          <w:szCs w:val="24"/>
        </w:rPr>
      </w:pPr>
      <w:r w:rsidRPr="00F80C74">
        <w:rPr>
          <w:b/>
          <w:bCs/>
          <w:sz w:val="24"/>
          <w:szCs w:val="24"/>
        </w:rPr>
        <w:t>Theme 1: Student Reality versus Institutional Expectations</w:t>
      </w:r>
      <w:r>
        <w:rPr>
          <w:b/>
          <w:bCs/>
          <w:sz w:val="24"/>
          <w:szCs w:val="24"/>
        </w:rPr>
        <w:t xml:space="preserve"> </w:t>
      </w:r>
    </w:p>
    <w:p w14:paraId="2671355E" w14:textId="77777777" w:rsidR="00324522" w:rsidRPr="00324522" w:rsidRDefault="00324522" w:rsidP="00324522">
      <w:pPr>
        <w:spacing w:afterLines="120" w:after="288" w:line="360" w:lineRule="auto"/>
        <w:jc w:val="both"/>
        <w:rPr>
          <w:sz w:val="24"/>
          <w:szCs w:val="24"/>
        </w:rPr>
      </w:pPr>
      <w:r w:rsidRPr="00324522">
        <w:rPr>
          <w:sz w:val="24"/>
          <w:szCs w:val="24"/>
        </w:rPr>
        <w:lastRenderedPageBreak/>
        <w:t>A recurring finding across the evidence was the tension between the assumptions embedded within higher education systems and the actual circumstances experienced by students. Universities generally operate on the assumption that students possess the resources and conditions necessary for participation, including regular attendance, access to learning materials, digital connectivity, adequate nutrition, and sufficient levels of academic preparedness. However, the evidence repeatedly demonstrated that these assumptions did not reflect the lived realities of many students.</w:t>
      </w:r>
    </w:p>
    <w:p w14:paraId="3D06DECC" w14:textId="77777777" w:rsidR="00324522" w:rsidRPr="00324522" w:rsidRDefault="00324522" w:rsidP="00324522">
      <w:pPr>
        <w:spacing w:afterLines="120" w:after="288" w:line="360" w:lineRule="auto"/>
        <w:jc w:val="both"/>
        <w:rPr>
          <w:sz w:val="24"/>
          <w:szCs w:val="24"/>
        </w:rPr>
      </w:pPr>
      <w:r w:rsidRPr="00324522">
        <w:rPr>
          <w:sz w:val="24"/>
          <w:szCs w:val="24"/>
        </w:rPr>
        <w:t xml:space="preserve">Poverty emerged as one of the most significant barriers to participation. The </w:t>
      </w:r>
      <w:proofErr w:type="spellStart"/>
      <w:r w:rsidRPr="00324522">
        <w:rPr>
          <w:sz w:val="24"/>
          <w:szCs w:val="24"/>
        </w:rPr>
        <w:t>PGDipHE</w:t>
      </w:r>
      <w:proofErr w:type="spellEnd"/>
      <w:r w:rsidRPr="00324522">
        <w:rPr>
          <w:sz w:val="24"/>
          <w:szCs w:val="24"/>
        </w:rPr>
        <w:t xml:space="preserve"> portfolio documented students who could not afford prescribed textbooks and learning materials, while the doctoral study later confirmed that financial hardship remained a persistent feature of student life. Students frequently relied on financial aid, shared resources, delayed purchasing books, or attempted to study without essential learning materials. In several instances, financial pressures extended beyond the student, as available funds were often used to support family members facing similar socio-economic challenges.</w:t>
      </w:r>
    </w:p>
    <w:p w14:paraId="076BC840" w14:textId="2BE57EAC" w:rsidR="00324522" w:rsidRPr="00324522" w:rsidRDefault="00324522" w:rsidP="00324522">
      <w:pPr>
        <w:spacing w:afterLines="120" w:after="288" w:line="360" w:lineRule="auto"/>
        <w:jc w:val="both"/>
        <w:rPr>
          <w:sz w:val="24"/>
          <w:szCs w:val="24"/>
        </w:rPr>
      </w:pPr>
      <w:r w:rsidRPr="00324522">
        <w:rPr>
          <w:sz w:val="24"/>
          <w:szCs w:val="24"/>
        </w:rPr>
        <w:t xml:space="preserve">Food insecurity represented a related challenge. Both the </w:t>
      </w:r>
      <w:proofErr w:type="spellStart"/>
      <w:r w:rsidRPr="00324522">
        <w:rPr>
          <w:sz w:val="24"/>
          <w:szCs w:val="24"/>
        </w:rPr>
        <w:t>PGDipHE</w:t>
      </w:r>
      <w:proofErr w:type="spellEnd"/>
      <w:r w:rsidRPr="00324522">
        <w:rPr>
          <w:sz w:val="24"/>
          <w:szCs w:val="24"/>
        </w:rPr>
        <w:t xml:space="preserve"> portfolio and doctoral study documented situations in which students attended classes while experiencing hunger and financial hardship. The inability to access food affected concentration, participation, and academic performance. Within these circumstances, academic success could not be understood solely as a function of ability or effort but was closely linked to broader socio-economic conditions.</w:t>
      </w:r>
    </w:p>
    <w:p w14:paraId="5F6E9C46" w14:textId="77777777" w:rsidR="00324522" w:rsidRPr="00324522" w:rsidRDefault="00324522" w:rsidP="00324522">
      <w:pPr>
        <w:spacing w:afterLines="120" w:after="288" w:line="360" w:lineRule="auto"/>
        <w:jc w:val="both"/>
        <w:rPr>
          <w:sz w:val="24"/>
          <w:szCs w:val="24"/>
        </w:rPr>
      </w:pPr>
      <w:r w:rsidRPr="00324522">
        <w:rPr>
          <w:sz w:val="24"/>
          <w:szCs w:val="24"/>
        </w:rPr>
        <w:t>Language also emerged as a recurring challenge. Many students entered higher education with English as an additional language and experienced difficulty engaging with disciplinary discourse, academic writing, and formal communication. This challenge was compounded by the articulation gap between school and university expectations. The evidence demonstrates that academic development frequently required support extending beyond disciplinary content into areas such as communication, literacy, study skills, and academic confidence.</w:t>
      </w:r>
    </w:p>
    <w:p w14:paraId="46449496" w14:textId="77777777" w:rsidR="00175C3C" w:rsidRDefault="00175C3C" w:rsidP="007D51C4">
      <w:pPr>
        <w:spacing w:afterLines="120" w:after="288" w:line="360" w:lineRule="auto"/>
        <w:jc w:val="both"/>
        <w:rPr>
          <w:sz w:val="24"/>
          <w:szCs w:val="24"/>
        </w:rPr>
      </w:pPr>
      <w:r w:rsidRPr="00175C3C">
        <w:rPr>
          <w:sz w:val="24"/>
          <w:szCs w:val="24"/>
        </w:rPr>
        <w:t xml:space="preserve">Collectively, these findings suggest that educational access cannot be understood solely as admission to higher education. Students may gain formal access to university while remaining excluded by poverty, hunger, language barriers, and uneven educational preparation. The </w:t>
      </w:r>
      <w:r w:rsidRPr="00175C3C">
        <w:rPr>
          <w:sz w:val="24"/>
          <w:szCs w:val="24"/>
        </w:rPr>
        <w:lastRenderedPageBreak/>
        <w:t>findings therefore indicate that meaningful participation requires ongoing forms of academic support that extend beyond traditional teaching activities.</w:t>
      </w:r>
    </w:p>
    <w:p w14:paraId="45CAF6B1" w14:textId="208C6D29" w:rsidR="007D51C4" w:rsidRPr="007D51C4" w:rsidRDefault="007D51C4" w:rsidP="007D51C4">
      <w:pPr>
        <w:spacing w:afterLines="120" w:after="288" w:line="360" w:lineRule="auto"/>
        <w:jc w:val="both"/>
        <w:rPr>
          <w:b/>
          <w:bCs/>
          <w:sz w:val="24"/>
          <w:szCs w:val="24"/>
        </w:rPr>
      </w:pPr>
      <w:r w:rsidRPr="007D51C4">
        <w:rPr>
          <w:b/>
          <w:bCs/>
          <w:sz w:val="24"/>
          <w:szCs w:val="24"/>
        </w:rPr>
        <w:t>Theme 2: Throughput versus Care</w:t>
      </w:r>
    </w:p>
    <w:p w14:paraId="7DB626F7" w14:textId="77777777" w:rsidR="007D51C4" w:rsidRPr="007D51C4" w:rsidRDefault="007D51C4" w:rsidP="007D51C4">
      <w:pPr>
        <w:spacing w:afterLines="120" w:after="288" w:line="360" w:lineRule="auto"/>
        <w:jc w:val="both"/>
        <w:rPr>
          <w:sz w:val="24"/>
          <w:szCs w:val="24"/>
        </w:rPr>
      </w:pPr>
      <w:r w:rsidRPr="007D51C4">
        <w:rPr>
          <w:sz w:val="24"/>
          <w:szCs w:val="24"/>
        </w:rPr>
        <w:t>The second theme concerned the tension between institutional performance imperatives and values associated with care, support, and student development. Across the doctoral study and teaching portfolio, institutional success was strongly linked to throughput rates, pass rates, graduation targets, and student progression indicators. These measures formed part of broader accountability frameworks that influenced institutional decision-making and academic responsibilities.</w:t>
      </w:r>
    </w:p>
    <w:p w14:paraId="6DDA526F" w14:textId="77777777" w:rsidR="007D51C4" w:rsidRPr="007D51C4" w:rsidRDefault="007D51C4" w:rsidP="007D51C4">
      <w:pPr>
        <w:spacing w:afterLines="120" w:after="288" w:line="360" w:lineRule="auto"/>
        <w:jc w:val="both"/>
        <w:rPr>
          <w:sz w:val="24"/>
          <w:szCs w:val="24"/>
        </w:rPr>
      </w:pPr>
      <w:r w:rsidRPr="007D51C4">
        <w:rPr>
          <w:sz w:val="24"/>
          <w:szCs w:val="24"/>
        </w:rPr>
        <w:t>At the same time, the evidence demonstrated a strong commitment to developmental support. Rather than viewing students solely as performance indicators, the practice documented throughout the portfolios reflected efforts to support students as individuals operating within varying social and educational circumstances. These activities included consultation, mentoring, feedback, academic advising, referrals to support services, additional learning opportunities, and personalised interventions for students experiencing difficulties.</w:t>
      </w:r>
    </w:p>
    <w:p w14:paraId="7B05E7E5" w14:textId="77777777" w:rsidR="007D51C4" w:rsidRPr="007D51C4" w:rsidRDefault="007D51C4" w:rsidP="007D51C4">
      <w:pPr>
        <w:spacing w:afterLines="120" w:after="288" w:line="360" w:lineRule="auto"/>
        <w:jc w:val="both"/>
        <w:rPr>
          <w:sz w:val="24"/>
          <w:szCs w:val="24"/>
        </w:rPr>
      </w:pPr>
      <w:r w:rsidRPr="007D51C4">
        <w:rPr>
          <w:sz w:val="24"/>
          <w:szCs w:val="24"/>
        </w:rPr>
        <w:t>Evidence from the Vice-Chancellor's Award portfolio illustrates how developmental support became integrated into teaching practice. Structured consultation opportunities, scaffolding, mentoring, assessment guidance, and accessible learning resources contributed to sustained improvements in student outcomes, including improved pass rates and positive student evaluations. Student reflections further indicated that educational influence extended beyond academic achievement to include confidence, professional identity, and career aspirations.</w:t>
      </w:r>
    </w:p>
    <w:p w14:paraId="1B9B3C75" w14:textId="77777777" w:rsidR="00792B83" w:rsidRDefault="00792B83" w:rsidP="00880ABC">
      <w:pPr>
        <w:spacing w:afterLines="120" w:after="288" w:line="360" w:lineRule="auto"/>
        <w:jc w:val="both"/>
        <w:rPr>
          <w:sz w:val="24"/>
          <w:szCs w:val="24"/>
        </w:rPr>
      </w:pPr>
      <w:r w:rsidRPr="00792B83">
        <w:rPr>
          <w:sz w:val="24"/>
          <w:szCs w:val="24"/>
        </w:rPr>
        <w:t>These findings suggest that care and student success should not be positioned as competing priorities. Rather, developmental support functions as an educational resource that enables students to meet academic expectations more successfully. Care therefore emerged not as an alternative to performance but as a condition that supports it.</w:t>
      </w:r>
    </w:p>
    <w:p w14:paraId="10DE19DA" w14:textId="0A8B4323" w:rsidR="00880ABC" w:rsidRPr="00880ABC" w:rsidRDefault="00880ABC" w:rsidP="00880ABC">
      <w:pPr>
        <w:spacing w:afterLines="120" w:after="288" w:line="360" w:lineRule="auto"/>
        <w:jc w:val="both"/>
        <w:rPr>
          <w:b/>
          <w:bCs/>
          <w:sz w:val="24"/>
          <w:szCs w:val="24"/>
        </w:rPr>
      </w:pPr>
      <w:r w:rsidRPr="00880ABC">
        <w:rPr>
          <w:b/>
          <w:bCs/>
          <w:sz w:val="24"/>
          <w:szCs w:val="24"/>
        </w:rPr>
        <w:t>Theme 3: Research versus Teaching</w:t>
      </w:r>
    </w:p>
    <w:p w14:paraId="17F5D66C" w14:textId="77777777" w:rsidR="00880ABC" w:rsidRPr="00880ABC" w:rsidRDefault="00880ABC" w:rsidP="00880ABC">
      <w:pPr>
        <w:spacing w:afterLines="120" w:after="288" w:line="360" w:lineRule="auto"/>
        <w:jc w:val="both"/>
        <w:rPr>
          <w:sz w:val="24"/>
          <w:szCs w:val="24"/>
        </w:rPr>
      </w:pPr>
      <w:r w:rsidRPr="00880ABC">
        <w:rPr>
          <w:sz w:val="24"/>
          <w:szCs w:val="24"/>
        </w:rPr>
        <w:lastRenderedPageBreak/>
        <w:t>The third theme concerned the relationship between teaching responsibilities and increasing expectations relating to research productivity. Throughout the doctoral inquiry, academic work was characterised by multiple and competing responsibilities. These included teaching, assessment, student support, administration, curriculum development, quality assurance activities, postgraduate study, community engagement, and research output expectations.</w:t>
      </w:r>
    </w:p>
    <w:p w14:paraId="38128DD5" w14:textId="77777777" w:rsidR="00880ABC" w:rsidRPr="00880ABC" w:rsidRDefault="00880ABC" w:rsidP="00880ABC">
      <w:pPr>
        <w:spacing w:afterLines="120" w:after="288" w:line="360" w:lineRule="auto"/>
        <w:jc w:val="both"/>
        <w:rPr>
          <w:sz w:val="24"/>
          <w:szCs w:val="24"/>
        </w:rPr>
      </w:pPr>
      <w:r w:rsidRPr="00880ABC">
        <w:rPr>
          <w:sz w:val="24"/>
          <w:szCs w:val="24"/>
        </w:rPr>
        <w:t>Participants consistently described workload as a major challenge. Large class sizes, intensive marking requirements, administrative responsibilities, committee work, student consultations, registration activities, and institutional reporting processes created significant pressures on available time. These responsibilities frequently competed with expectations regarding postgraduate qualifications, publication outputs, conference participation, and research development.</w:t>
      </w:r>
    </w:p>
    <w:p w14:paraId="49A2310C" w14:textId="77777777" w:rsidR="00F64C34" w:rsidRDefault="00880ABC" w:rsidP="00880ABC">
      <w:pPr>
        <w:spacing w:afterLines="120" w:after="288" w:line="360" w:lineRule="auto"/>
        <w:jc w:val="both"/>
        <w:rPr>
          <w:sz w:val="24"/>
          <w:szCs w:val="24"/>
        </w:rPr>
      </w:pPr>
      <w:r w:rsidRPr="00880ABC">
        <w:rPr>
          <w:sz w:val="24"/>
          <w:szCs w:val="24"/>
        </w:rPr>
        <w:t xml:space="preserve">The evidence reveals that competing expectations generated a recurring tension. On one hand, institutional strategies encouraged increased research productivity and academic development. On the other hand, the realities of teaching within a resource-constrained environment often required substantial investment of time and energy in student support and administrative work. </w:t>
      </w:r>
    </w:p>
    <w:p w14:paraId="53556571" w14:textId="4BC11728" w:rsidR="007D51C4" w:rsidRDefault="002C35EF" w:rsidP="00880ABC">
      <w:pPr>
        <w:spacing w:afterLines="120" w:after="288" w:line="360" w:lineRule="auto"/>
        <w:jc w:val="both"/>
        <w:rPr>
          <w:sz w:val="24"/>
          <w:szCs w:val="24"/>
        </w:rPr>
      </w:pPr>
      <w:r w:rsidRPr="002C35EF">
        <w:rPr>
          <w:sz w:val="24"/>
          <w:szCs w:val="24"/>
        </w:rPr>
        <w:t>The findings indicate that workload operates as a critical structural condition shaping academic practice. Decisions about time allocation influence not only research productivity but also student support, curriculum development, and professional growth. As a result, workload emerges as a key factor affecting the educational capacity of academics within resource-constrained environments.</w:t>
      </w:r>
    </w:p>
    <w:p w14:paraId="73604071" w14:textId="77777777" w:rsidR="007E58E3" w:rsidRPr="007E58E3" w:rsidRDefault="007E58E3" w:rsidP="007E58E3">
      <w:pPr>
        <w:spacing w:afterLines="120" w:after="288" w:line="360" w:lineRule="auto"/>
        <w:jc w:val="both"/>
        <w:rPr>
          <w:b/>
          <w:bCs/>
          <w:sz w:val="24"/>
          <w:szCs w:val="24"/>
        </w:rPr>
      </w:pPr>
      <w:r w:rsidRPr="007E58E3">
        <w:rPr>
          <w:b/>
          <w:bCs/>
          <w:sz w:val="24"/>
          <w:szCs w:val="24"/>
        </w:rPr>
        <w:t>Theme 4: University and Community</w:t>
      </w:r>
    </w:p>
    <w:p w14:paraId="3BCDFFEA" w14:textId="5191145A" w:rsidR="007E58E3" w:rsidRPr="007E58E3" w:rsidRDefault="007E58E3" w:rsidP="007E58E3">
      <w:pPr>
        <w:spacing w:afterLines="120" w:after="288" w:line="360" w:lineRule="auto"/>
        <w:jc w:val="both"/>
        <w:rPr>
          <w:sz w:val="24"/>
          <w:szCs w:val="24"/>
        </w:rPr>
      </w:pPr>
      <w:r w:rsidRPr="007E58E3">
        <w:rPr>
          <w:sz w:val="24"/>
          <w:szCs w:val="24"/>
        </w:rPr>
        <w:t>The final theme extended the analysis beyond the classroom and demonstrated that many of the same tensions appeared within community engagement activities. Evidence from the community engagement portfolio revealed sustained efforts to respond to socio-economic challenges through educational support, food security initiatives, household assistance, and community-based interventions. These activities included providing school uniforms, educational resources, food support, and direct assistance to vulnerable households.</w:t>
      </w:r>
    </w:p>
    <w:p w14:paraId="68DF80CF" w14:textId="77777777" w:rsidR="007E58E3" w:rsidRPr="007E58E3" w:rsidRDefault="007E58E3" w:rsidP="007E58E3">
      <w:pPr>
        <w:spacing w:afterLines="120" w:after="288" w:line="360" w:lineRule="auto"/>
        <w:jc w:val="both"/>
        <w:rPr>
          <w:sz w:val="24"/>
          <w:szCs w:val="24"/>
        </w:rPr>
      </w:pPr>
      <w:r w:rsidRPr="007E58E3">
        <w:rPr>
          <w:sz w:val="24"/>
          <w:szCs w:val="24"/>
        </w:rPr>
        <w:lastRenderedPageBreak/>
        <w:t>A notable finding was the integration of student participation into these initiatives. Students were involved in planning and implementation activities that exposed them to the realities facing surrounding communities. Reflection on these experiences suggested increased awareness of inequality, civic responsibility, and the broader social context within which education operates.</w:t>
      </w:r>
    </w:p>
    <w:p w14:paraId="5E41E929" w14:textId="3243002C" w:rsidR="00880ABC" w:rsidRDefault="00BB6E86" w:rsidP="00880ABC">
      <w:pPr>
        <w:spacing w:afterLines="120" w:after="288" w:line="360" w:lineRule="auto"/>
        <w:jc w:val="both"/>
        <w:rPr>
          <w:sz w:val="24"/>
          <w:szCs w:val="24"/>
        </w:rPr>
      </w:pPr>
      <w:r w:rsidRPr="00BB6E86">
        <w:rPr>
          <w:sz w:val="24"/>
          <w:szCs w:val="24"/>
        </w:rPr>
        <w:t>These findings suggest that educational responsibility extends beyond formal curriculum delivery. Community engagement created opportunities for learning, participation, and social awareness that complemented classroom activities. The evidence therefore indicates that educational influence can occur across multiple sites, including classrooms, communities, and partnerships beyond the university.</w:t>
      </w:r>
      <w:r w:rsidR="00347431" w:rsidRPr="00347431">
        <w:rPr>
          <w:sz w:val="24"/>
          <w:szCs w:val="24"/>
        </w:rPr>
        <w:t xml:space="preserve"> </w:t>
      </w:r>
    </w:p>
    <w:p w14:paraId="6485509D" w14:textId="444E7E18" w:rsidR="00DB76F6" w:rsidRDefault="00DB76F6" w:rsidP="00880ABC">
      <w:pPr>
        <w:spacing w:afterLines="120" w:after="288" w:line="360" w:lineRule="auto"/>
        <w:jc w:val="both"/>
        <w:rPr>
          <w:sz w:val="24"/>
          <w:szCs w:val="24"/>
        </w:rPr>
      </w:pPr>
      <w:r w:rsidRPr="00DB76F6">
        <w:rPr>
          <w:sz w:val="24"/>
          <w:szCs w:val="24"/>
        </w:rPr>
        <w:t>Taken together, these themes provide evidence of a recurring form of educational action that was not immediately visible during practice but became apparent through retrospective reflection and analysis. The next section explores how this recurring pattern contributed to the emergence of Human Buffering.</w:t>
      </w:r>
    </w:p>
    <w:p w14:paraId="70DC60DB" w14:textId="77777777" w:rsidR="00146028" w:rsidRDefault="003C1E47" w:rsidP="00842AE1">
      <w:pPr>
        <w:spacing w:afterLines="120" w:after="288" w:line="360" w:lineRule="auto"/>
        <w:jc w:val="both"/>
        <w:rPr>
          <w:b/>
          <w:bCs/>
          <w:sz w:val="24"/>
          <w:szCs w:val="24"/>
        </w:rPr>
      </w:pPr>
      <w:r w:rsidRPr="003C1E47">
        <w:rPr>
          <w:b/>
          <w:bCs/>
          <w:sz w:val="24"/>
          <w:szCs w:val="24"/>
        </w:rPr>
        <w:t>6. Human Buffering as Emergent Theory</w:t>
      </w:r>
    </w:p>
    <w:p w14:paraId="7EF7EE3E" w14:textId="264CC7BD" w:rsidR="00146028" w:rsidRPr="00842AE1" w:rsidRDefault="00146028" w:rsidP="00842AE1">
      <w:pPr>
        <w:spacing w:afterLines="120" w:after="288" w:line="360" w:lineRule="auto"/>
        <w:jc w:val="both"/>
        <w:rPr>
          <w:sz w:val="24"/>
          <w:szCs w:val="24"/>
        </w:rPr>
      </w:pPr>
      <w:r w:rsidRPr="00146028">
        <w:rPr>
          <w:sz w:val="24"/>
          <w:szCs w:val="24"/>
        </w:rPr>
        <w:t xml:space="preserve">The preceding analysis identified a recurring pattern across teaching, learning, curriculum development, mentoring, student support, and community engagement. Although these practices initially appeared as context-specific responses to immediate challenges, closer examination revealed a consistent form of action. Across different institutional settings and over a twenty-year period, similar responses emerged whenever tensions arose between institutional expectations and the lived realities of students. </w:t>
      </w:r>
      <w:r w:rsidR="00AE4B9A" w:rsidRPr="00AE4B9A">
        <w:rPr>
          <w:sz w:val="24"/>
          <w:szCs w:val="24"/>
        </w:rPr>
        <w:t xml:space="preserve">Human Buffering emerged gradually through sustained reflection </w:t>
      </w:r>
      <w:r w:rsidR="00116998" w:rsidRPr="00116998">
        <w:rPr>
          <w:sz w:val="24"/>
          <w:szCs w:val="24"/>
        </w:rPr>
        <w:t>and recurrent engagement with practical educational dilemmas.</w:t>
      </w:r>
    </w:p>
    <w:p w14:paraId="02CAF9E6" w14:textId="77777777" w:rsidR="00D50C71" w:rsidRPr="00D50C71" w:rsidRDefault="00D50C71" w:rsidP="00D50C71">
      <w:pPr>
        <w:spacing w:afterLines="120" w:after="288" w:line="360" w:lineRule="auto"/>
        <w:jc w:val="both"/>
        <w:rPr>
          <w:b/>
          <w:bCs/>
          <w:sz w:val="24"/>
          <w:szCs w:val="24"/>
        </w:rPr>
      </w:pPr>
      <w:r w:rsidRPr="00D50C71">
        <w:rPr>
          <w:b/>
          <w:bCs/>
          <w:sz w:val="24"/>
          <w:szCs w:val="24"/>
        </w:rPr>
        <w:t>Defining Human Buffering</w:t>
      </w:r>
    </w:p>
    <w:p w14:paraId="4F6311F5" w14:textId="77777777" w:rsidR="00D50C71" w:rsidRPr="00D50C71" w:rsidRDefault="00D50C71" w:rsidP="00D50C71">
      <w:pPr>
        <w:spacing w:afterLines="120" w:after="288" w:line="360" w:lineRule="auto"/>
        <w:jc w:val="both"/>
        <w:rPr>
          <w:sz w:val="24"/>
          <w:szCs w:val="24"/>
        </w:rPr>
      </w:pPr>
      <w:r w:rsidRPr="00D50C71">
        <w:rPr>
          <w:sz w:val="24"/>
          <w:szCs w:val="24"/>
        </w:rPr>
        <w:t>Human Buffering is defined as:</w:t>
      </w:r>
    </w:p>
    <w:p w14:paraId="7F933140" w14:textId="77777777" w:rsidR="00D50C71" w:rsidRPr="00D50C71" w:rsidRDefault="00D50C71" w:rsidP="00BF3BA1">
      <w:pPr>
        <w:spacing w:afterLines="120" w:after="288" w:line="360" w:lineRule="auto"/>
        <w:ind w:left="720"/>
        <w:jc w:val="both"/>
        <w:rPr>
          <w:sz w:val="24"/>
          <w:szCs w:val="24"/>
        </w:rPr>
      </w:pPr>
      <w:r w:rsidRPr="00D50C71">
        <w:rPr>
          <w:sz w:val="24"/>
          <w:szCs w:val="24"/>
        </w:rPr>
        <w:t xml:space="preserve">Human Buffering is a values-led form of educational mediation through which academics negotiate tensions between institutional expectations and the lived </w:t>
      </w:r>
      <w:r w:rsidRPr="00D50C71">
        <w:rPr>
          <w:sz w:val="24"/>
          <w:szCs w:val="24"/>
        </w:rPr>
        <w:lastRenderedPageBreak/>
        <w:t>realities of students in ways intended to preserve dignity, participation, care and educational possibility.</w:t>
      </w:r>
    </w:p>
    <w:p w14:paraId="4CD54ECC" w14:textId="77777777" w:rsidR="00D50C71" w:rsidRPr="00D50C71" w:rsidRDefault="00D50C71" w:rsidP="00D50C71">
      <w:pPr>
        <w:spacing w:afterLines="120" w:after="288" w:line="360" w:lineRule="auto"/>
        <w:jc w:val="both"/>
        <w:rPr>
          <w:sz w:val="24"/>
          <w:szCs w:val="24"/>
        </w:rPr>
      </w:pPr>
    </w:p>
    <w:p w14:paraId="2E3CCD57" w14:textId="77777777" w:rsidR="00D50C71" w:rsidRPr="00D50C71" w:rsidRDefault="00D50C71" w:rsidP="00D50C71">
      <w:pPr>
        <w:spacing w:afterLines="120" w:after="288" w:line="360" w:lineRule="auto"/>
        <w:jc w:val="both"/>
        <w:rPr>
          <w:sz w:val="24"/>
          <w:szCs w:val="24"/>
        </w:rPr>
      </w:pPr>
      <w:r w:rsidRPr="00D50C71">
        <w:rPr>
          <w:sz w:val="24"/>
          <w:szCs w:val="24"/>
        </w:rPr>
        <w:t>This definition emerged inductively from practice rather than deductively from theory. Human Buffering was not identified through abstract conceptual analysis but through sustained engagement with situations where competing demands required practical responses. Across multiple settings, the academic role extended beyond the formal responsibilities of teaching disciplinary content. Instead, it frequently involved creating bridges between institutional systems and student circumstances, particularly where structural barriers threatened participation, learning continuity, or academic success.</w:t>
      </w:r>
    </w:p>
    <w:p w14:paraId="417E8793" w14:textId="6BD51B0C" w:rsidR="00146028" w:rsidRPr="00842AE1" w:rsidRDefault="00D50C71" w:rsidP="00D50C71">
      <w:pPr>
        <w:spacing w:afterLines="120" w:after="288" w:line="360" w:lineRule="auto"/>
        <w:jc w:val="both"/>
        <w:rPr>
          <w:sz w:val="24"/>
          <w:szCs w:val="24"/>
        </w:rPr>
      </w:pPr>
      <w:r w:rsidRPr="00D50C71">
        <w:rPr>
          <w:sz w:val="24"/>
          <w:szCs w:val="24"/>
        </w:rPr>
        <w:t>Human Buffering therefore differs from approaches that focus exclusively on care, emotional labour, or professional identity. While each contributes important insights, Human Buffering foregrounds the active role of academics as mediators operating within complex institutional environments. It focuses specifically on how tensions are negotiated, translated, and managed in ways that allow education to continue despite adverse circumstances.</w:t>
      </w:r>
    </w:p>
    <w:p w14:paraId="7EA050F7" w14:textId="0317DE48" w:rsidR="00842AE1" w:rsidRPr="006C6C71" w:rsidRDefault="00F868CE" w:rsidP="00842AE1">
      <w:pPr>
        <w:spacing w:afterLines="120" w:after="288" w:line="360" w:lineRule="auto"/>
        <w:jc w:val="both"/>
        <w:rPr>
          <w:b/>
          <w:bCs/>
          <w:sz w:val="24"/>
          <w:szCs w:val="24"/>
        </w:rPr>
      </w:pPr>
      <w:r w:rsidRPr="00F868CE">
        <w:rPr>
          <w:b/>
          <w:bCs/>
          <w:sz w:val="24"/>
          <w:szCs w:val="24"/>
        </w:rPr>
        <w:t>Characteristics of Human Buffering</w:t>
      </w:r>
    </w:p>
    <w:p w14:paraId="7F1FCEBC" w14:textId="77777777" w:rsidR="0070047F" w:rsidRDefault="00F868CE" w:rsidP="0070047F">
      <w:pPr>
        <w:spacing w:afterLines="120" w:after="288" w:line="360" w:lineRule="auto"/>
        <w:jc w:val="both"/>
        <w:rPr>
          <w:sz w:val="24"/>
          <w:szCs w:val="24"/>
        </w:rPr>
      </w:pPr>
      <w:r w:rsidRPr="00F868CE">
        <w:rPr>
          <w:sz w:val="24"/>
          <w:szCs w:val="24"/>
        </w:rPr>
        <w:t>Analysis of the evidence revealed five interconnected characteristics that collectively define Human Buffering.</w:t>
      </w:r>
    </w:p>
    <w:p w14:paraId="780A0486" w14:textId="77777777" w:rsidR="00744326" w:rsidRDefault="00744326" w:rsidP="00842AE1">
      <w:pPr>
        <w:spacing w:afterLines="120" w:after="288" w:line="360" w:lineRule="auto"/>
        <w:jc w:val="both"/>
        <w:rPr>
          <w:b/>
          <w:bCs/>
          <w:sz w:val="24"/>
          <w:szCs w:val="24"/>
        </w:rPr>
      </w:pPr>
      <w:r w:rsidRPr="00744326">
        <w:rPr>
          <w:b/>
          <w:bCs/>
          <w:sz w:val="24"/>
          <w:szCs w:val="24"/>
        </w:rPr>
        <w:t>1. Mediation</w:t>
      </w:r>
    </w:p>
    <w:p w14:paraId="5021B9EB" w14:textId="77777777" w:rsidR="00744326" w:rsidRDefault="00744326" w:rsidP="00842AE1">
      <w:pPr>
        <w:spacing w:afterLines="120" w:after="288" w:line="360" w:lineRule="auto"/>
        <w:jc w:val="both"/>
        <w:rPr>
          <w:sz w:val="24"/>
          <w:szCs w:val="24"/>
        </w:rPr>
      </w:pPr>
      <w:r w:rsidRPr="00744326">
        <w:rPr>
          <w:sz w:val="24"/>
          <w:szCs w:val="24"/>
        </w:rPr>
        <w:t>The most fundamental characteristic is mediation. Human Buffering occurs when academics position themselves between competing realities and seek workable responses that preserve educational participation. This mediation is evident when lecturers navigate tensions between institutional policies and student circumstances, throughput expectations and developmental support, or curriculum demands and educational readiness. Rather than simply enforcing institutional requirements or abandoning them, mediation seeks a balanced pathway that maintains educational integrity while responding to human realities.</w:t>
      </w:r>
    </w:p>
    <w:p w14:paraId="6C771C70" w14:textId="6E0774CF" w:rsidR="008469BD" w:rsidRDefault="008469BD" w:rsidP="00842AE1">
      <w:pPr>
        <w:spacing w:afterLines="120" w:after="288" w:line="360" w:lineRule="auto"/>
        <w:jc w:val="both"/>
        <w:rPr>
          <w:sz w:val="24"/>
          <w:szCs w:val="24"/>
        </w:rPr>
      </w:pPr>
      <w:r w:rsidRPr="008469BD">
        <w:rPr>
          <w:b/>
          <w:bCs/>
          <w:sz w:val="24"/>
          <w:szCs w:val="24"/>
        </w:rPr>
        <w:lastRenderedPageBreak/>
        <w:t>2. Translation</w:t>
      </w:r>
    </w:p>
    <w:p w14:paraId="23A35EBF" w14:textId="292595E0" w:rsidR="008469BD" w:rsidRDefault="005E5EA8" w:rsidP="00842AE1">
      <w:pPr>
        <w:spacing w:afterLines="120" w:after="288" w:line="360" w:lineRule="auto"/>
        <w:jc w:val="both"/>
        <w:rPr>
          <w:sz w:val="24"/>
          <w:szCs w:val="24"/>
        </w:rPr>
      </w:pPr>
      <w:r w:rsidRPr="005E5EA8">
        <w:rPr>
          <w:sz w:val="24"/>
          <w:szCs w:val="24"/>
        </w:rPr>
        <w:t>Human Buffering also involves translation. Students frequently encounter institutional systems, policies, procedures, and expectations that are unfamiliar or difficult to interpret. Academics often function as translators who make these systems understandable and accessible. Equally, lecturers may translate student realities to institutional structures through advocacy, referrals, or support mechanisms. In this sense, buffering involves helping different parts of the system understand one another.</w:t>
      </w:r>
    </w:p>
    <w:p w14:paraId="480A0E44" w14:textId="0962689A" w:rsidR="005E5EA8" w:rsidRDefault="005E5EA8" w:rsidP="00842AE1">
      <w:pPr>
        <w:spacing w:afterLines="120" w:after="288" w:line="360" w:lineRule="auto"/>
        <w:jc w:val="both"/>
        <w:rPr>
          <w:sz w:val="24"/>
          <w:szCs w:val="24"/>
        </w:rPr>
      </w:pPr>
      <w:r w:rsidRPr="005E5EA8">
        <w:rPr>
          <w:b/>
          <w:bCs/>
          <w:sz w:val="24"/>
          <w:szCs w:val="24"/>
        </w:rPr>
        <w:t>3. Adaptation</w:t>
      </w:r>
    </w:p>
    <w:p w14:paraId="23C4D945" w14:textId="5654E458" w:rsidR="00766B57" w:rsidRDefault="00766B57" w:rsidP="00E426EE">
      <w:pPr>
        <w:spacing w:afterLines="120" w:after="288" w:line="360" w:lineRule="auto"/>
        <w:jc w:val="both"/>
        <w:rPr>
          <w:sz w:val="24"/>
          <w:szCs w:val="24"/>
        </w:rPr>
      </w:pPr>
      <w:r w:rsidRPr="00766B57">
        <w:rPr>
          <w:sz w:val="24"/>
          <w:szCs w:val="24"/>
        </w:rPr>
        <w:t>A third characteristic is adaptation. The evidence consistently showed lecturers adjusting teaching approaches, communication methods, assessment support, consultation opportunities, and learning resources in response to student needs and contextual constraints. Importantly, adaptation does not imply lowering standards. Rather, it reflects attempts to create alternative pathways through which students can engage meaningfully with learning despite barriers related to poverty, language, technology, or educational preparedness.</w:t>
      </w:r>
    </w:p>
    <w:p w14:paraId="586834D6" w14:textId="77777777" w:rsidR="00F833D9" w:rsidRPr="006777B1" w:rsidRDefault="00F833D9" w:rsidP="00F833D9">
      <w:pPr>
        <w:spacing w:afterLines="120" w:after="288" w:line="360" w:lineRule="auto"/>
        <w:jc w:val="both"/>
        <w:rPr>
          <w:b/>
          <w:bCs/>
          <w:sz w:val="24"/>
          <w:szCs w:val="24"/>
        </w:rPr>
      </w:pPr>
      <w:r w:rsidRPr="006777B1">
        <w:rPr>
          <w:b/>
          <w:bCs/>
          <w:sz w:val="24"/>
          <w:szCs w:val="24"/>
        </w:rPr>
        <w:t>4. Advocacy</w:t>
      </w:r>
    </w:p>
    <w:p w14:paraId="4A742E53" w14:textId="77777777" w:rsidR="00F833D9" w:rsidRPr="00F833D9" w:rsidRDefault="00F833D9" w:rsidP="00F833D9">
      <w:pPr>
        <w:spacing w:afterLines="120" w:after="288" w:line="360" w:lineRule="auto"/>
        <w:jc w:val="both"/>
        <w:rPr>
          <w:sz w:val="24"/>
          <w:szCs w:val="24"/>
        </w:rPr>
      </w:pPr>
      <w:r w:rsidRPr="00F833D9">
        <w:rPr>
          <w:sz w:val="24"/>
          <w:szCs w:val="24"/>
        </w:rPr>
        <w:t>Human Buffering includes advocacy on behalf of students and communities. Throughout the evidence base, academics acted as connectors to institutional support systems, referred students for assistance, facilitated access to resources, and initiated interventions intended to improve participation and wellbeing. Community engagement activities revealed similar patterns in which educational actors responded to identified needs while seeking to strengthen opportunities for learning and development. Advocacy therefore extends buffering beyond the classroom into broader institutional and community contexts.</w:t>
      </w:r>
    </w:p>
    <w:p w14:paraId="430D11EF" w14:textId="77777777" w:rsidR="00F833D9" w:rsidRPr="006777B1" w:rsidRDefault="00F833D9" w:rsidP="00F833D9">
      <w:pPr>
        <w:spacing w:afterLines="120" w:after="288" w:line="360" w:lineRule="auto"/>
        <w:jc w:val="both"/>
        <w:rPr>
          <w:b/>
          <w:bCs/>
          <w:sz w:val="24"/>
          <w:szCs w:val="24"/>
        </w:rPr>
      </w:pPr>
      <w:r w:rsidRPr="006777B1">
        <w:rPr>
          <w:b/>
          <w:bCs/>
          <w:sz w:val="24"/>
          <w:szCs w:val="24"/>
        </w:rPr>
        <w:t>5. Responsiveness</w:t>
      </w:r>
    </w:p>
    <w:p w14:paraId="3001B95E" w14:textId="77777777" w:rsidR="00F833D9" w:rsidRPr="00F833D9" w:rsidRDefault="00F833D9" w:rsidP="00F833D9">
      <w:pPr>
        <w:spacing w:afterLines="120" w:after="288" w:line="360" w:lineRule="auto"/>
        <w:jc w:val="both"/>
        <w:rPr>
          <w:sz w:val="24"/>
          <w:szCs w:val="24"/>
        </w:rPr>
      </w:pPr>
      <w:r w:rsidRPr="00F833D9">
        <w:rPr>
          <w:sz w:val="24"/>
          <w:szCs w:val="24"/>
        </w:rPr>
        <w:t xml:space="preserve">Finally, Human Buffering is characterised by responsiveness. It does not emerge from predetermined procedures but from attentiveness to context. Responsive action requires recognising the difference between institutional assumptions and lived realities, then acting </w:t>
      </w:r>
      <w:r w:rsidRPr="00F833D9">
        <w:rPr>
          <w:sz w:val="24"/>
          <w:szCs w:val="24"/>
        </w:rPr>
        <w:lastRenderedPageBreak/>
        <w:t>in ways that address emerging needs. It reflects an educational orientation grounded in care, dignity, relationality, and responsibility while remaining conscious of institutional constraints and obligations.</w:t>
      </w:r>
    </w:p>
    <w:p w14:paraId="7230E666" w14:textId="2A89F291" w:rsidR="00F833D9" w:rsidRPr="00F833D9" w:rsidRDefault="00AB4D87" w:rsidP="00F833D9">
      <w:pPr>
        <w:spacing w:afterLines="120" w:after="288" w:line="360" w:lineRule="auto"/>
        <w:jc w:val="both"/>
        <w:rPr>
          <w:b/>
          <w:bCs/>
          <w:sz w:val="24"/>
          <w:szCs w:val="24"/>
        </w:rPr>
      </w:pPr>
      <w:r>
        <w:rPr>
          <w:b/>
          <w:bCs/>
          <w:sz w:val="24"/>
          <w:szCs w:val="24"/>
        </w:rPr>
        <w:t xml:space="preserve">6. </w:t>
      </w:r>
      <w:r w:rsidR="00F833D9" w:rsidRPr="00F833D9">
        <w:rPr>
          <w:b/>
          <w:bCs/>
          <w:sz w:val="24"/>
          <w:szCs w:val="24"/>
        </w:rPr>
        <w:t>Human Buffering as an Explanatory Framework</w:t>
      </w:r>
    </w:p>
    <w:p w14:paraId="7FB9DAEF" w14:textId="77777777" w:rsidR="00F833D9" w:rsidRPr="00F833D9" w:rsidRDefault="00F833D9" w:rsidP="00F833D9">
      <w:pPr>
        <w:spacing w:afterLines="120" w:after="288" w:line="360" w:lineRule="auto"/>
        <w:jc w:val="both"/>
        <w:rPr>
          <w:sz w:val="24"/>
          <w:szCs w:val="24"/>
        </w:rPr>
      </w:pPr>
      <w:r w:rsidRPr="00F833D9">
        <w:rPr>
          <w:sz w:val="24"/>
          <w:szCs w:val="24"/>
        </w:rPr>
        <w:t>When viewed collectively, these characteristics suggest that Human Buffering functions as more than a collection of supportive practices. It provides a way of understanding educational action within environments characterised by conflicting practices. The concept explains why academics repeatedly engage in acts of mediation, translation, adaptation, advocacy, and responsiveness despite the pressures generated by performance measures, resource limitations, and competing organisational priorities.</w:t>
      </w:r>
    </w:p>
    <w:p w14:paraId="3175D9F0" w14:textId="6F66FE2A" w:rsidR="00766B57" w:rsidRDefault="00904136" w:rsidP="00F833D9">
      <w:pPr>
        <w:spacing w:afterLines="120" w:after="288" w:line="360" w:lineRule="auto"/>
        <w:jc w:val="both"/>
        <w:rPr>
          <w:sz w:val="24"/>
          <w:szCs w:val="24"/>
        </w:rPr>
      </w:pPr>
      <w:r w:rsidRPr="00904136">
        <w:rPr>
          <w:sz w:val="24"/>
          <w:szCs w:val="24"/>
        </w:rPr>
        <w:t>Human Buffering does not remove contradiction; rather, it creates educational possibilities within existing contradictions.</w:t>
      </w:r>
      <w:r w:rsidR="00376261">
        <w:rPr>
          <w:sz w:val="24"/>
          <w:szCs w:val="24"/>
        </w:rPr>
        <w:t xml:space="preserve"> </w:t>
      </w:r>
      <w:r w:rsidR="00F833D9" w:rsidRPr="00F833D9">
        <w:rPr>
          <w:sz w:val="24"/>
          <w:szCs w:val="24"/>
        </w:rPr>
        <w:t>In this respect, buffering becomes an enabling process rather than a problem-solving mechanism. It provides temporary and practical responses that preserve educational opportunities while larger structural challenges remain unresolved.</w:t>
      </w:r>
    </w:p>
    <w:p w14:paraId="5AD1C227" w14:textId="65198BE3" w:rsidR="00E426EE" w:rsidRPr="00E426EE" w:rsidRDefault="0065561B" w:rsidP="00E426EE">
      <w:pPr>
        <w:spacing w:afterLines="120" w:after="288" w:line="360" w:lineRule="auto"/>
        <w:jc w:val="both"/>
        <w:rPr>
          <w:b/>
          <w:bCs/>
          <w:sz w:val="24"/>
          <w:szCs w:val="24"/>
        </w:rPr>
      </w:pPr>
      <w:r>
        <w:rPr>
          <w:b/>
          <w:bCs/>
          <w:noProof/>
          <w:sz w:val="24"/>
          <w:szCs w:val="24"/>
        </w:rPr>
        <mc:AlternateContent>
          <mc:Choice Requires="wps">
            <w:drawing>
              <wp:anchor distT="0" distB="0" distL="114300" distR="114300" simplePos="0" relativeHeight="251659264" behindDoc="0" locked="0" layoutInCell="1" allowOverlap="1" wp14:anchorId="2018817F" wp14:editId="000759A9">
                <wp:simplePos x="0" y="0"/>
                <wp:positionH relativeFrom="column">
                  <wp:posOffset>1630680</wp:posOffset>
                </wp:positionH>
                <wp:positionV relativeFrom="paragraph">
                  <wp:posOffset>418465</wp:posOffset>
                </wp:positionV>
                <wp:extent cx="2598420" cy="365760"/>
                <wp:effectExtent l="0" t="0" r="11430" b="15240"/>
                <wp:wrapNone/>
                <wp:docPr id="921095316"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D7F97F" id="Rectangle: Rounded Corners 1" o:spid="_x0000_s1026" style="position:absolute;margin-left:128.4pt;margin-top:32.95pt;width:204.6pt;height:28.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IaDTJ+EAAAAKAQAADwAAAGRycy9kb3du&#10;cmV2LnhtbEyPXUvDQBBF3wX/wzKCL6XdGMlSYzZF/ABpQbSKz5tkmsTuzobsto3/3vFJH4c53Htu&#10;sZqcFUccQ+9Jw9UiAYFU+6anVsPH+9N8CSJEQ42xnlDDNwZYlednhckbf6I3PG5jKziEQm40dDEO&#10;uZSh7tCZsPADEv92fnQm8jm2shnNicOdlWmSKOlMT9zQmQHvO6z324PTsH50r9XMrndx86X29JzM&#10;PuuHF60vL6a7WxARp/gHw68+q0PJTpU/UBOE1ZBmitWjBpXdgGBAKcXjKibT6wxkWcj/E8ofAAAA&#10;//8DAFBLAQItABQABgAIAAAAIQC2gziS/gAAAOEBAAATAAAAAAAAAAAAAAAAAAAAAABbQ29udGVu&#10;dF9UeXBlc10ueG1sUEsBAi0AFAAGAAgAAAAhADj9If/WAAAAlAEAAAsAAAAAAAAAAAAAAAAALwEA&#10;AF9yZWxzLy5yZWxzUEsBAi0AFAAGAAgAAAAhAPGgAQZmAgAAIwUAAA4AAAAAAAAAAAAAAAAALgIA&#10;AGRycy9lMm9Eb2MueG1sUEsBAi0AFAAGAAgAAAAhACGg0yfhAAAACgEAAA8AAAAAAAAAAAAAAAAA&#10;wAQAAGRycy9kb3ducmV2LnhtbFBLBQYAAAAABAAEAPMAAADOBQAAAAA=&#10;" filled="f" strokecolor="#09101d [484]" strokeweight="1pt">
                <v:stroke joinstyle="miter"/>
              </v:roundrect>
            </w:pict>
          </mc:Fallback>
        </mc:AlternateContent>
      </w:r>
      <w:r w:rsidR="006777B1" w:rsidRPr="006777B1">
        <w:rPr>
          <w:b/>
          <w:bCs/>
          <w:sz w:val="24"/>
          <w:szCs w:val="24"/>
        </w:rPr>
        <w:t>Figure 1: Human Buffering Framework</w:t>
      </w:r>
    </w:p>
    <w:p w14:paraId="32D5272F" w14:textId="77777777"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Institutional and Policy Expectations</w:t>
      </w:r>
    </w:p>
    <w:p w14:paraId="364D0DF7" w14:textId="111CF756" w:rsidR="00682BF8" w:rsidRDefault="008C639C" w:rsidP="00E708FB">
      <w:pPr>
        <w:spacing w:afterLines="100" w:after="240" w:line="240" w:lineRule="auto"/>
        <w:jc w:val="center"/>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58239" behindDoc="0" locked="0" layoutInCell="1" allowOverlap="1" wp14:anchorId="1AC015B5" wp14:editId="57E93EE2">
                <wp:simplePos x="0" y="0"/>
                <wp:positionH relativeFrom="column">
                  <wp:posOffset>1615440</wp:posOffset>
                </wp:positionH>
                <wp:positionV relativeFrom="paragraph">
                  <wp:posOffset>347345</wp:posOffset>
                </wp:positionV>
                <wp:extent cx="2598420" cy="365760"/>
                <wp:effectExtent l="0" t="0" r="11430" b="15240"/>
                <wp:wrapNone/>
                <wp:docPr id="1620635936"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D21296" id="Rectangle: Rounded Corners 1" o:spid="_x0000_s1026" style="position:absolute;margin-left:127.2pt;margin-top:27.35pt;width:204.6pt;height:28.8pt;z-index:25165823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Vhqo+IAAAAKAQAADwAAAGRycy9kb3du&#10;cmV2LnhtbEyPXUvDMBSG7wX/QziCN2NL13VRatMhfoBMEDfF67Q5a+uSk9JkW/33i1d6eXgf3vc5&#10;xWq0hh1x8J0jCfNZAgypdrqjRsLnx/P0FpgPirQyjlDCD3pYlZcXhcq1O9EGj9vQsFhCPlcS2hD6&#10;nHNft2iVn7keKWY7N1gV4jk0XA/qFMut4WmSCG5VR3GhVT0+tFjvtwcrYf1k36uJWe/C67fY00sy&#10;+aof36S8vhrv74AFHMMfDL/6UR3K6FS5A2nPjIR0mWURlbDMboBFQIiFAFZFcp4ugJcF//9CeQYA&#10;AP//AwBQSwECLQAUAAYACAAAACEAtoM4kv4AAADhAQAAEwAAAAAAAAAAAAAAAAAAAAAAW0NvbnRl&#10;bnRfVHlwZXNdLnhtbFBLAQItABQABgAIAAAAIQA4/SH/1gAAAJQBAAALAAAAAAAAAAAAAAAAAC8B&#10;AABfcmVscy8ucmVsc1BLAQItABQABgAIAAAAIQDxoAEGZgIAACMFAAAOAAAAAAAAAAAAAAAAAC4C&#10;AABkcnMvZTJvRG9jLnhtbFBLAQItABQABgAIAAAAIQD5WGqj4gAAAAoBAAAPAAAAAAAAAAAAAAAA&#10;AMAEAABkcnMvZG93bnJldi54bWxQSwUGAAAAAAQABADzAAAAzwUAAAAA&#10;" filled="f" strokecolor="#09101d [484]" strokeweight="1pt">
                <v:stroke joinstyle="miter"/>
              </v:roundrect>
            </w:pict>
          </mc:Fallback>
        </mc:AlternateContent>
      </w:r>
      <w:r w:rsidR="00682BF8" w:rsidRPr="004028DD">
        <w:rPr>
          <w:rFonts w:cstheme="minorHAnsi"/>
          <w:sz w:val="24"/>
          <w:szCs w:val="24"/>
        </w:rPr>
        <w:t>↓</w:t>
      </w:r>
    </w:p>
    <w:p w14:paraId="6C2B4F61" w14:textId="0350227D" w:rsidR="00A62462" w:rsidRDefault="008C44C2" w:rsidP="00E708FB">
      <w:pPr>
        <w:spacing w:afterLines="100" w:after="240" w:line="240" w:lineRule="auto"/>
        <w:jc w:val="center"/>
        <w:rPr>
          <w:rFonts w:cstheme="minorHAnsi"/>
          <w:sz w:val="24"/>
          <w:szCs w:val="24"/>
        </w:rPr>
      </w:pPr>
      <w:r w:rsidRPr="008C44C2">
        <w:rPr>
          <w:rFonts w:cstheme="minorHAnsi"/>
          <w:sz w:val="24"/>
          <w:szCs w:val="24"/>
        </w:rPr>
        <w:t>Conflicting Practices</w:t>
      </w:r>
    </w:p>
    <w:p w14:paraId="1B850C72" w14:textId="0405929B" w:rsidR="00682BF8" w:rsidRPr="004028DD" w:rsidRDefault="00E708FB" w:rsidP="00E708FB">
      <w:pPr>
        <w:spacing w:afterLines="100" w:after="240" w:line="240" w:lineRule="auto"/>
        <w:jc w:val="center"/>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61312" behindDoc="0" locked="0" layoutInCell="1" allowOverlap="1" wp14:anchorId="3A3D374A" wp14:editId="690266CC">
                <wp:simplePos x="0" y="0"/>
                <wp:positionH relativeFrom="column">
                  <wp:posOffset>1485900</wp:posOffset>
                </wp:positionH>
                <wp:positionV relativeFrom="paragraph">
                  <wp:posOffset>219075</wp:posOffset>
                </wp:positionV>
                <wp:extent cx="2964180" cy="1143000"/>
                <wp:effectExtent l="0" t="0" r="26670" b="19050"/>
                <wp:wrapNone/>
                <wp:docPr id="1700842922" name="Rectangle: Rounded Corners 1"/>
                <wp:cNvGraphicFramePr/>
                <a:graphic xmlns:a="http://schemas.openxmlformats.org/drawingml/2006/main">
                  <a:graphicData uri="http://schemas.microsoft.com/office/word/2010/wordprocessingShape">
                    <wps:wsp>
                      <wps:cNvSpPr/>
                      <wps:spPr>
                        <a:xfrm>
                          <a:off x="0" y="0"/>
                          <a:ext cx="2964180" cy="11430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276CC" id="Rectangle: Rounded Corners 1" o:spid="_x0000_s1026" style="position:absolute;margin-left:117pt;margin-top:17.25pt;width:233.4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0oZAIAACQFAAAOAAAAZHJzL2Uyb0RvYy54bWysVFFP2zAQfp+0/2D5fSTpCoOKFFVFTJMQ&#10;VMDEs3HsJpLj885u0+7X7+ykKQK0h2kvju27++7uy3e+vNq1hm0V+gZsyYuTnDNlJVSNXZf859PN&#10;l3POfBC2EgasKvleeX41//zpsnMzNYEaTKWQEYj1s86VvA7BzbLMy1q1wp+AU5aMGrAVgY64zioU&#10;HaG3Jpvk+VnWAVYOQSrv6fa6N/J5wtdayXCvtVeBmZJTbSGtmNaXuGbzSzFbo3B1I4cyxD9U0YrG&#10;UtIR6loEwTbYvINqG4ngQYcTCW0GWjdSpR6omyJ/081jLZxKvRA53o00+f8HK++2j26FREPn/MzT&#10;Nnax09jGL9XHdoms/UiW2gUm6XJycTYtzolTSbaimH7N80Rndgx36MN3BS2Lm5IjbGz1QL8kMSW2&#10;tz5QXvI/+MWUFm4aY+L9saC0C3ujooOxD0qzpoolJKCkFbU0yLaC/rKQUtlQ9KZaVKq/Lk6P9Y0R&#10;KXsCjMiaEo/YA0DU4XvsvuzBP4aqJLUxOP9bYX3wGJEygw1jcNtYwI8ADHU1ZO79DyT11ESWXqDa&#10;r5Ah9EL3Tt40xP2t8GElkJRN/4umNdzTog10JYdhx1kN+Puj++hPgiMrZx1NSsn9r41AxZn5YUmK&#10;F8V0GkcrHaan3yZ0wNeWl9cWu2mXQL+poHfBybSN/sEcthqhfaahXsSsZBJWUu6Sy4CHwzL0E0zP&#10;glSLRXKjcXIi3NpHJyN4ZDXK6mn3LNANAgyk3Ts4TJWYvZFg7xsjLSw2AXST9HnkdeCbRjEJZ3g2&#10;4qy/Piev4+M2/wMAAP//AwBQSwMEFAAGAAgAAAAhAHDNKUDhAAAACgEAAA8AAABkcnMvZG93bnJl&#10;di54bWxMj0tPwzAQhO9I/AdrkbhU1O6DFoU4FeIhoSIhWhBnJ94mofY6it02/HuWExx3ZjQ7X74a&#10;vBNH7GMbSMNkrEAgVcG2VGv4eH+6ugERkyFrXCDU8I0RVsX5WW4yG060weM21YJLKGZGQ5NSl0kZ&#10;qwa9iePQIbG3C703ic++lrY3Jy73Tk6VWkhvWuIPjenwvsFqvz14DetH/1aO3HqXXr4We3pWo8/q&#10;4VXry4vh7hZEwiH9heF3Pk+HgjeV4UA2CqdhOpszS9Iwm1+D4MBSKWYp2ZmwIotc/kcofgAAAP//&#10;AwBQSwECLQAUAAYACAAAACEAtoM4kv4AAADhAQAAEwAAAAAAAAAAAAAAAAAAAAAAW0NvbnRlbnRf&#10;VHlwZXNdLnhtbFBLAQItABQABgAIAAAAIQA4/SH/1gAAAJQBAAALAAAAAAAAAAAAAAAAAC8BAABf&#10;cmVscy8ucmVsc1BLAQItABQABgAIAAAAIQB0cW0oZAIAACQFAAAOAAAAAAAAAAAAAAAAAC4CAABk&#10;cnMvZTJvRG9jLnhtbFBLAQItABQABgAIAAAAIQBwzSlA4QAAAAoBAAAPAAAAAAAAAAAAAAAAAL4E&#10;AABkcnMvZG93bnJldi54bWxQSwUGAAAAAAQABADzAAAAzAUAAAAA&#10;" filled="f" strokecolor="#09101d [484]" strokeweight="1pt">
                <v:stroke joinstyle="miter"/>
              </v:roundrect>
            </w:pict>
          </mc:Fallback>
        </mc:AlternateContent>
      </w:r>
      <w:r w:rsidR="00682BF8" w:rsidRPr="004028DD">
        <w:rPr>
          <w:rFonts w:cstheme="minorHAnsi"/>
          <w:sz w:val="24"/>
          <w:szCs w:val="24"/>
        </w:rPr>
        <w:t>↓</w:t>
      </w:r>
    </w:p>
    <w:p w14:paraId="5A3B35E6" w14:textId="68EDC0AD"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Human Buffering</w:t>
      </w:r>
    </w:p>
    <w:p w14:paraId="2C8F9325" w14:textId="77777777"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(Mediation • Care • Translation •</w:t>
      </w:r>
    </w:p>
    <w:p w14:paraId="1B0CBD13" w14:textId="6A31ED68"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Adaptation • Advocacy • Responsiveness)</w:t>
      </w:r>
    </w:p>
    <w:p w14:paraId="52BE3215" w14:textId="186D95CF"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w:t>
      </w:r>
    </w:p>
    <w:p w14:paraId="65942199" w14:textId="4D2218D4" w:rsidR="00682BF8" w:rsidRPr="004028DD" w:rsidRDefault="00E53CC7" w:rsidP="00E708FB">
      <w:pPr>
        <w:spacing w:afterLines="100" w:after="240" w:line="240" w:lineRule="auto"/>
        <w:jc w:val="center"/>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63360" behindDoc="0" locked="0" layoutInCell="1" allowOverlap="1" wp14:anchorId="301F4DA4" wp14:editId="03CA8F2D">
                <wp:simplePos x="0" y="0"/>
                <wp:positionH relativeFrom="margin">
                  <wp:align>center</wp:align>
                </wp:positionH>
                <wp:positionV relativeFrom="paragraph">
                  <wp:posOffset>0</wp:posOffset>
                </wp:positionV>
                <wp:extent cx="2598420" cy="365760"/>
                <wp:effectExtent l="0" t="0" r="11430" b="15240"/>
                <wp:wrapNone/>
                <wp:docPr id="446850762"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B087B3" id="Rectangle: Rounded Corners 1" o:spid="_x0000_s1026" style="position:absolute;margin-left:0;margin-top:0;width:204.6pt;height:28.8pt;z-index:25166336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uaq8at0AAAAEAQAADwAAAGRycy9kb3du&#10;cmV2LnhtbEyPT0vDQBDF74LfYRnBS2l3LRo1ZlPEPyAVxFbxPMlOk9jd2ZDdtvHbu3rRy8DjPd77&#10;TbEYnRV7GkLnWcPZTIEgrr3puNHw/vY4vQIRIrJB65k0fFGARXl8VGBu/IFXtF/HRqQSDjlqaGPs&#10;cylD3ZLDMPM9cfI2fnAYkxwaaQY8pHJn5VypTDrsOC202NNdS/V2vXMalg/utZrY5SY+f2ZbflKT&#10;j/r+RevTk/H2BkSkMf6F4Qc/oUOZmCq/YxOE1ZAeib83eefqeg6i0nBxmYEsC/kfvvwGAAD//wMA&#10;UEsBAi0AFAAGAAgAAAAhALaDOJL+AAAA4QEAABMAAAAAAAAAAAAAAAAAAAAAAFtDb250ZW50X1R5&#10;cGVzXS54bWxQSwECLQAUAAYACAAAACEAOP0h/9YAAACUAQAACwAAAAAAAAAAAAAAAAAvAQAAX3Jl&#10;bHMvLnJlbHNQSwECLQAUAAYACAAAACEA8aABBmYCAAAjBQAADgAAAAAAAAAAAAAAAAAuAgAAZHJz&#10;L2Uyb0RvYy54bWxQSwECLQAUAAYACAAAACEAuaq8at0AAAAEAQAADwAAAAAAAAAAAAAAAADABAAA&#10;ZHJzL2Rvd25yZXYueG1sUEsFBgAAAAAEAAQA8wAAAMoFAAAAAA==&#10;" filled="f" strokecolor="#09101d [484]" strokeweight="1pt">
                <v:stroke joinstyle="miter"/>
                <w10:wrap anchorx="margin"/>
              </v:roundrect>
            </w:pict>
          </mc:Fallback>
        </mc:AlternateContent>
      </w:r>
      <w:r w:rsidR="00682BF8" w:rsidRPr="004028DD">
        <w:rPr>
          <w:rFonts w:cstheme="minorHAnsi"/>
          <w:sz w:val="24"/>
          <w:szCs w:val="24"/>
        </w:rPr>
        <w:t>Student Inclusion and Participation</w:t>
      </w:r>
    </w:p>
    <w:p w14:paraId="7ED9DFD7" w14:textId="3BBC0179"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t>↓</w:t>
      </w:r>
    </w:p>
    <w:p w14:paraId="076D4594" w14:textId="0CE3511F" w:rsidR="00682BF8" w:rsidRPr="004028DD" w:rsidRDefault="00E53CC7" w:rsidP="00E708FB">
      <w:pPr>
        <w:spacing w:afterLines="100" w:after="240" w:line="240" w:lineRule="auto"/>
        <w:jc w:val="center"/>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65408" behindDoc="0" locked="0" layoutInCell="1" allowOverlap="1" wp14:anchorId="07ABC657" wp14:editId="57E47C2C">
                <wp:simplePos x="0" y="0"/>
                <wp:positionH relativeFrom="margin">
                  <wp:align>center</wp:align>
                </wp:positionH>
                <wp:positionV relativeFrom="paragraph">
                  <wp:posOffset>-635</wp:posOffset>
                </wp:positionV>
                <wp:extent cx="2598420" cy="365760"/>
                <wp:effectExtent l="0" t="0" r="11430" b="15240"/>
                <wp:wrapNone/>
                <wp:docPr id="1402017880"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C63BD3" id="Rectangle: Rounded Corners 1" o:spid="_x0000_s1026" style="position:absolute;margin-left:0;margin-top:-.05pt;width:204.6pt;height:28.8pt;z-index:251665408;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Ney8n94AAAAFAQAADwAAAGRycy9kb3du&#10;cmV2LnhtbEyPzU7DMBCE70i8g7VIXKrWbkVLCdlUiB8JFQnRgjg78TYJtddR7Lbh7TEnOI5mNPNN&#10;vhqcFUfqQ+sZYTpRIIgrb1quET7en8ZLECFqNtp6JoRvCrAqzs9ynRl/4g0dt7EWqYRDphGaGLtM&#10;ylA15HSY+I44eTvfOx2T7Gtpen1K5c7KmVIL6XTLaaHRHd03VO23B4ewfnRv5ciud/Hla7HnZzX6&#10;rB5eES8vhrtbEJGG+BeGX/yEDkViKv2BTRAWIR2JCOMpiGReqZsZiBJhfj0HWeTyP33xAwAA//8D&#10;AFBLAQItABQABgAIAAAAIQC2gziS/gAAAOEBAAATAAAAAAAAAAAAAAAAAAAAAABbQ29udGVudF9U&#10;eXBlc10ueG1sUEsBAi0AFAAGAAgAAAAhADj9If/WAAAAlAEAAAsAAAAAAAAAAAAAAAAALwEAAF9y&#10;ZWxzLy5yZWxzUEsBAi0AFAAGAAgAAAAhAPGgAQZmAgAAIwUAAA4AAAAAAAAAAAAAAAAALgIAAGRy&#10;cy9lMm9Eb2MueG1sUEsBAi0AFAAGAAgAAAAhADXsvJ/eAAAABQEAAA8AAAAAAAAAAAAAAAAAwAQA&#10;AGRycy9kb3ducmV2LnhtbFBLBQYAAAAABAAEAPMAAADLBQAAAAA=&#10;" filled="f" strokecolor="#09101d [484]" strokeweight="1pt">
                <v:stroke joinstyle="miter"/>
                <w10:wrap anchorx="margin"/>
              </v:roundrect>
            </w:pict>
          </mc:Fallback>
        </mc:AlternateContent>
      </w:r>
      <w:r w:rsidR="00682BF8" w:rsidRPr="004028DD">
        <w:rPr>
          <w:rFonts w:cstheme="minorHAnsi"/>
          <w:sz w:val="24"/>
          <w:szCs w:val="24"/>
        </w:rPr>
        <w:t>Educational Continuity</w:t>
      </w:r>
    </w:p>
    <w:p w14:paraId="0612E5A8" w14:textId="7DACE272" w:rsidR="00682BF8" w:rsidRPr="004028DD" w:rsidRDefault="00682BF8" w:rsidP="00E708FB">
      <w:pPr>
        <w:spacing w:afterLines="100" w:after="240" w:line="240" w:lineRule="auto"/>
        <w:jc w:val="center"/>
        <w:rPr>
          <w:rFonts w:cstheme="minorHAnsi"/>
          <w:sz w:val="24"/>
          <w:szCs w:val="24"/>
        </w:rPr>
      </w:pPr>
      <w:r w:rsidRPr="004028DD">
        <w:rPr>
          <w:rFonts w:cstheme="minorHAnsi"/>
          <w:sz w:val="24"/>
          <w:szCs w:val="24"/>
        </w:rPr>
        <w:lastRenderedPageBreak/>
        <w:t>↓</w:t>
      </w:r>
    </w:p>
    <w:p w14:paraId="3C124602" w14:textId="5B618195" w:rsidR="00E426EE" w:rsidRPr="004028DD" w:rsidRDefault="00E53CC7" w:rsidP="00E708FB">
      <w:pPr>
        <w:spacing w:afterLines="100" w:after="240" w:line="240" w:lineRule="auto"/>
        <w:jc w:val="center"/>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67456" behindDoc="0" locked="0" layoutInCell="1" allowOverlap="1" wp14:anchorId="090DE3AD" wp14:editId="09C91A7D">
                <wp:simplePos x="0" y="0"/>
                <wp:positionH relativeFrom="margin">
                  <wp:align>center</wp:align>
                </wp:positionH>
                <wp:positionV relativeFrom="paragraph">
                  <wp:posOffset>-635</wp:posOffset>
                </wp:positionV>
                <wp:extent cx="2598420" cy="365760"/>
                <wp:effectExtent l="0" t="0" r="11430" b="15240"/>
                <wp:wrapNone/>
                <wp:docPr id="699555341"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08F4E6" id="Rectangle: Rounded Corners 1" o:spid="_x0000_s1026" style="position:absolute;margin-left:0;margin-top:-.05pt;width:204.6pt;height:28.8pt;z-index:25166745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Ney8n94AAAAFAQAADwAAAGRycy9kb3du&#10;cmV2LnhtbEyPzU7DMBCE70i8g7VIXKrWbkVLCdlUiB8JFQnRgjg78TYJtddR7Lbh7TEnOI5mNPNN&#10;vhqcFUfqQ+sZYTpRIIgrb1quET7en8ZLECFqNtp6JoRvCrAqzs9ynRl/4g0dt7EWqYRDphGaGLtM&#10;ylA15HSY+I44eTvfOx2T7Gtpen1K5c7KmVIL6XTLaaHRHd03VO23B4ewfnRv5ciud/Hla7HnZzX6&#10;rB5eES8vhrtbEJGG+BeGX/yEDkViKv2BTRAWIR2JCOMpiGReqZsZiBJhfj0HWeTyP33xAwAA//8D&#10;AFBLAQItABQABgAIAAAAIQC2gziS/gAAAOEBAAATAAAAAAAAAAAAAAAAAAAAAABbQ29udGVudF9U&#10;eXBlc10ueG1sUEsBAi0AFAAGAAgAAAAhADj9If/WAAAAlAEAAAsAAAAAAAAAAAAAAAAALwEAAF9y&#10;ZWxzLy5yZWxzUEsBAi0AFAAGAAgAAAAhAPGgAQZmAgAAIwUAAA4AAAAAAAAAAAAAAAAALgIAAGRy&#10;cy9lMm9Eb2MueG1sUEsBAi0AFAAGAAgAAAAhADXsvJ/eAAAABQEAAA8AAAAAAAAAAAAAAAAAwAQA&#10;AGRycy9kb3ducmV2LnhtbFBLBQYAAAAABAAEAPMAAADLBQAAAAA=&#10;" filled="f" strokecolor="#09101d [484]" strokeweight="1pt">
                <v:stroke joinstyle="miter"/>
                <w10:wrap anchorx="margin"/>
              </v:roundrect>
            </w:pict>
          </mc:Fallback>
        </mc:AlternateContent>
      </w:r>
      <w:r w:rsidR="00682BF8" w:rsidRPr="004028DD">
        <w:rPr>
          <w:rFonts w:cstheme="minorHAnsi"/>
          <w:sz w:val="24"/>
          <w:szCs w:val="24"/>
        </w:rPr>
        <w:t>Educational Influence</w:t>
      </w:r>
    </w:p>
    <w:p w14:paraId="18B02ECE" w14:textId="5E3A2894" w:rsidR="00E91B1F" w:rsidRPr="004028DD" w:rsidRDefault="006E5C77" w:rsidP="00E708FB">
      <w:pPr>
        <w:spacing w:afterLines="100" w:after="240" w:line="240" w:lineRule="auto"/>
        <w:jc w:val="both"/>
        <w:rPr>
          <w:rFonts w:cstheme="minorHAnsi"/>
          <w:sz w:val="24"/>
          <w:szCs w:val="24"/>
        </w:rPr>
      </w:pPr>
      <w:r w:rsidRPr="004028DD">
        <w:rPr>
          <w:rFonts w:cstheme="minorHAnsi"/>
          <w:b/>
          <w:bCs/>
          <w:noProof/>
          <w:sz w:val="24"/>
          <w:szCs w:val="24"/>
        </w:rPr>
        <mc:AlternateContent>
          <mc:Choice Requires="wps">
            <w:drawing>
              <wp:anchor distT="0" distB="0" distL="114300" distR="114300" simplePos="0" relativeHeight="251669504" behindDoc="0" locked="0" layoutInCell="1" allowOverlap="1" wp14:anchorId="7FBA5A22" wp14:editId="46249E6A">
                <wp:simplePos x="0" y="0"/>
                <wp:positionH relativeFrom="margin">
                  <wp:posOffset>83820</wp:posOffset>
                </wp:positionH>
                <wp:positionV relativeFrom="paragraph">
                  <wp:posOffset>340360</wp:posOffset>
                </wp:positionV>
                <wp:extent cx="5646420" cy="693420"/>
                <wp:effectExtent l="0" t="0" r="11430" b="11430"/>
                <wp:wrapNone/>
                <wp:docPr id="1478007297" name="Rectangle: Rounded Corners 1"/>
                <wp:cNvGraphicFramePr/>
                <a:graphic xmlns:a="http://schemas.openxmlformats.org/drawingml/2006/main">
                  <a:graphicData uri="http://schemas.microsoft.com/office/word/2010/wordprocessingShape">
                    <wps:wsp>
                      <wps:cNvSpPr/>
                      <wps:spPr>
                        <a:xfrm>
                          <a:off x="0" y="0"/>
                          <a:ext cx="5646420" cy="69342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278935" id="Rectangle: Rounded Corners 1" o:spid="_x0000_s1026" style="position:absolute;margin-left:6.6pt;margin-top:26.8pt;width:444.6pt;height:5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UAPZAIAACMFAAAOAAAAZHJzL2Uyb0RvYy54bWysVMFu2zAMvQ/YPwi6r3ayNGuDOkWQIsOA&#10;oi3aDj0rshQbkEWNUuJkXz9KdpyiLXYYdpEpkXyknh91db1vDNsp9DXYgo/Ocs6UlVDWdlPwn8+r&#10;Lxec+SBsKQxYVfCD8vx6/vnTVetmagwVmFIhIxDrZ60reBWCm2WZl5VqhD8Dpyw5NWAjAm1xk5Uo&#10;WkJvTDbO82nWApYOQSrv6fSmc/J5wtdayXCvtVeBmYJTbyGtmNZ1XLP5lZhtULiqln0b4h+6aERt&#10;qegAdSOCYFus30E1tUTwoMOZhCYDrWup0h3oNqP8zW2eKuFUuguR491Ak/9/sPJu9+QekGhonZ95&#10;MuMt9hqb+KX+2D6RdRjIUvvAJB2eTyfTyZg4leSbXn6NNsFkp2yHPnxX0LBoFBxha8tH+iOJKLG7&#10;9aGLP8bFihZWtTHx/NRPssLBqBhg7KPSrC6pg3ECSlJRS4NsJ+gnCymVDaPOVYlSdcej8zw/9jdk&#10;pG4TYETWVHjA7gGiDN9jd2338TFVJaUNyfnfGuuSh4xUGWwYkpvaAn4EYOhWfeUu/khSR01kaQ3l&#10;4QEZQqdz7+SqJu5vhQ8PAknY9LtoWMM9LdpAW3DoLc4qwN8fncd40ht5OWtpUAruf20FKs7MD0tK&#10;vBxNJnGy0mZy/i1KAl971q89dtssgX7TiJ4FJ5MZ44M5mhqheaGZXsSq5BJWUu2Cy4DHzTJ0A0yv&#10;glSLRQqjaXIi3NonJyN4ZDXK6nn/ItD1Agwk3Ts4DpWYvZFgFxszLSy2AXSd9HniteebJjEJp381&#10;4qi/3qeo09s2/wMAAP//AwBQSwMEFAAGAAgAAAAhAKDPsb/gAAAACQEAAA8AAABkcnMvZG93bnJl&#10;di54bWxMj11Lw0AQRd8F/8Mygi+l3TXVUGM2RfwAqSC2is+b7DSJzc6G7LaN/77jkz5ezuXOmXw5&#10;uk4ccAitJw1XMwUCqfK2pVrD58fzdAEiREPWdJ5Qww8GWBbnZ7nJrD/SGg+bWAseoZAZDU2MfSZl&#10;qBp0Jsx8j8Rs6wdnIsehlnYwRx53nUyUSqUzLfGFxvT40GC12+ydhtWTey8n3WobX7/THb2oyVf1&#10;+Kb15cV4fwci4hj/yvCrz+pQsFPp92SD6DjPE25quJmnIJjfquQaRMkgTRYgi1z+/6A4AQAA//8D&#10;AFBLAQItABQABgAIAAAAIQC2gziS/gAAAOEBAAATAAAAAAAAAAAAAAAAAAAAAABbQ29udGVudF9U&#10;eXBlc10ueG1sUEsBAi0AFAAGAAgAAAAhADj9If/WAAAAlAEAAAsAAAAAAAAAAAAAAAAALwEAAF9y&#10;ZWxzLy5yZWxzUEsBAi0AFAAGAAgAAAAhACzZQA9kAgAAIwUAAA4AAAAAAAAAAAAAAAAALgIAAGRy&#10;cy9lMm9Eb2MueG1sUEsBAi0AFAAGAAgAAAAhAKDPsb/gAAAACQEAAA8AAAAAAAAAAAAAAAAAvgQA&#10;AGRycy9kb3ducmV2LnhtbFBLBQYAAAAABAAEAPMAAADLBQAAAAA=&#10;" filled="f" strokecolor="#09101d [484]" strokeweight="1pt">
                <v:stroke joinstyle="miter"/>
                <w10:wrap anchorx="margin"/>
              </v:roundrect>
            </w:pict>
          </mc:Fallback>
        </mc:AlternateContent>
      </w:r>
    </w:p>
    <w:p w14:paraId="151754E1" w14:textId="05105283" w:rsidR="00E91B1F" w:rsidRPr="00E91B1F" w:rsidRDefault="00E91B1F" w:rsidP="00E91B1F">
      <w:pPr>
        <w:spacing w:after="0" w:line="300" w:lineRule="atLeast"/>
        <w:jc w:val="center"/>
        <w:rPr>
          <w:rFonts w:eastAsia="Times New Roman" w:cstheme="minorHAnsi"/>
          <w:kern w:val="0"/>
          <w:sz w:val="24"/>
          <w:szCs w:val="24"/>
          <w:lang w:eastAsia="en-ZA"/>
          <w14:ligatures w14:val="none"/>
        </w:rPr>
      </w:pPr>
      <w:r w:rsidRPr="00E91B1F">
        <w:rPr>
          <w:rFonts w:eastAsia="Times New Roman" w:cstheme="minorHAnsi"/>
          <w:kern w:val="0"/>
          <w:sz w:val="24"/>
          <w:szCs w:val="24"/>
          <w:lang w:eastAsia="en-ZA"/>
          <w14:ligatures w14:val="none"/>
        </w:rPr>
        <w:t>Human Buffering functions as a values-led mediating process through which academics negotiate tensions between institutional and policy expectations and the lived realities of students.</w:t>
      </w:r>
    </w:p>
    <w:p w14:paraId="39CFF08E" w14:textId="77777777" w:rsidR="00E91B1F" w:rsidRDefault="00E91B1F" w:rsidP="00E426EE">
      <w:pPr>
        <w:spacing w:afterLines="120" w:after="288" w:line="360" w:lineRule="auto"/>
        <w:jc w:val="both"/>
        <w:rPr>
          <w:sz w:val="24"/>
          <w:szCs w:val="24"/>
        </w:rPr>
      </w:pPr>
    </w:p>
    <w:p w14:paraId="003B7002" w14:textId="77777777" w:rsidR="00E91B1F" w:rsidRDefault="00E91B1F" w:rsidP="00E426EE">
      <w:pPr>
        <w:spacing w:afterLines="120" w:after="288" w:line="360" w:lineRule="auto"/>
        <w:jc w:val="both"/>
        <w:rPr>
          <w:sz w:val="24"/>
          <w:szCs w:val="24"/>
        </w:rPr>
      </w:pPr>
    </w:p>
    <w:p w14:paraId="6078DB64" w14:textId="794C53E5" w:rsidR="00E426EE" w:rsidRPr="00E426EE" w:rsidRDefault="006D7BA1" w:rsidP="00E426EE">
      <w:pPr>
        <w:spacing w:afterLines="120" w:after="288" w:line="360" w:lineRule="auto"/>
        <w:jc w:val="both"/>
        <w:rPr>
          <w:sz w:val="24"/>
          <w:szCs w:val="24"/>
        </w:rPr>
      </w:pPr>
      <w:r w:rsidRPr="006D7BA1">
        <w:rPr>
          <w:sz w:val="24"/>
          <w:szCs w:val="24"/>
        </w:rPr>
        <w:t>Figure 1 illustrates the relationship between conflicting practices and Human Buffering. Institutional expectations generate tensions when they encounter student realities. Human Buffering operates as a mediating process through which participation is sustained, educational continuity preserved, and educational influence achieved. The concept therefore provides a theoretical explanation for the recurring practices identified throughout the journey of inquiry and offers a framework for understanding how academics navigate complexity in higher education contexts.</w:t>
      </w:r>
    </w:p>
    <w:p w14:paraId="40267177" w14:textId="239A4B9F" w:rsidR="00D249B7" w:rsidRDefault="00D249B7" w:rsidP="00E426EE">
      <w:pPr>
        <w:spacing w:afterLines="120" w:after="288" w:line="360" w:lineRule="auto"/>
        <w:jc w:val="both"/>
        <w:rPr>
          <w:sz w:val="24"/>
          <w:szCs w:val="24"/>
        </w:rPr>
      </w:pPr>
      <w:r w:rsidRPr="00D249B7">
        <w:rPr>
          <w:b/>
          <w:bCs/>
          <w:sz w:val="24"/>
          <w:szCs w:val="24"/>
        </w:rPr>
        <w:t>7. Validation and Educational Influence</w:t>
      </w:r>
    </w:p>
    <w:p w14:paraId="0E979512" w14:textId="0AD437D3" w:rsidR="00D249B7" w:rsidRDefault="007064BD" w:rsidP="00E426EE">
      <w:pPr>
        <w:spacing w:afterLines="120" w:after="288" w:line="360" w:lineRule="auto"/>
        <w:jc w:val="both"/>
        <w:rPr>
          <w:sz w:val="24"/>
          <w:szCs w:val="24"/>
        </w:rPr>
      </w:pPr>
      <w:r w:rsidRPr="007064BD">
        <w:rPr>
          <w:sz w:val="24"/>
          <w:szCs w:val="24"/>
        </w:rPr>
        <w:t xml:space="preserve">A central concern raised during the review process related to validation. Specifically, questions were raised regarding how the influence of Human Buffering could be demonstrated beyond personal reflection and whether evidence existed to support claims of educational impact. In Living Theory research, validity is strengthened by demonstrating educational influence in the learning of self, others, and wider social formations (Whitehead, 2018). In response to this concern, evidence from teaching practice, student outcomes, community engagement activities, institutional recognition, and scholarly work was examined to determine whether the recurring practices identified in this inquiry had observable influence beyond the individual practitioner. The evidence presented below suggests that Human Buffering is not merely a personal interpretation of </w:t>
      </w:r>
      <w:proofErr w:type="gramStart"/>
      <w:r w:rsidRPr="007064BD">
        <w:rPr>
          <w:sz w:val="24"/>
          <w:szCs w:val="24"/>
        </w:rPr>
        <w:t>practice</w:t>
      </w:r>
      <w:proofErr w:type="gramEnd"/>
      <w:r w:rsidRPr="007064BD">
        <w:rPr>
          <w:sz w:val="24"/>
          <w:szCs w:val="24"/>
        </w:rPr>
        <w:t xml:space="preserve"> but a recurring form of educational action associated with demonstrable student, institutional, community, and scholarly outcomes.</w:t>
      </w:r>
    </w:p>
    <w:p w14:paraId="636354C5" w14:textId="3D32F7C3" w:rsidR="007064BD" w:rsidRDefault="00370CE0" w:rsidP="00E426EE">
      <w:pPr>
        <w:spacing w:afterLines="120" w:after="288" w:line="360" w:lineRule="auto"/>
        <w:jc w:val="both"/>
        <w:rPr>
          <w:sz w:val="24"/>
          <w:szCs w:val="24"/>
        </w:rPr>
      </w:pPr>
      <w:r>
        <w:rPr>
          <w:b/>
          <w:bCs/>
          <w:sz w:val="24"/>
          <w:szCs w:val="24"/>
        </w:rPr>
        <w:t xml:space="preserve">7.1 </w:t>
      </w:r>
      <w:r w:rsidR="007064BD" w:rsidRPr="007064BD">
        <w:rPr>
          <w:b/>
          <w:bCs/>
          <w:sz w:val="24"/>
          <w:szCs w:val="24"/>
        </w:rPr>
        <w:t>Student Validation</w:t>
      </w:r>
    </w:p>
    <w:p w14:paraId="4EA68089" w14:textId="77777777" w:rsidR="00200CE6" w:rsidRDefault="0054542A" w:rsidP="0054542A">
      <w:pPr>
        <w:spacing w:afterLines="120" w:after="288" w:line="360" w:lineRule="auto"/>
        <w:jc w:val="both"/>
        <w:rPr>
          <w:sz w:val="24"/>
          <w:szCs w:val="24"/>
        </w:rPr>
      </w:pPr>
      <w:r w:rsidRPr="0054542A">
        <w:rPr>
          <w:sz w:val="24"/>
          <w:szCs w:val="24"/>
        </w:rPr>
        <w:lastRenderedPageBreak/>
        <w:t xml:space="preserve">The strongest source of validation emerged from student experiences and educational outcomes. Across the Vice-Chancellor’s Award portfolio, student evaluations consistently reported high levels of engagement, confidence, participation, and satisfaction. </w:t>
      </w:r>
      <w:r w:rsidR="00286A83" w:rsidRPr="00286A83">
        <w:rPr>
          <w:sz w:val="24"/>
          <w:szCs w:val="24"/>
        </w:rPr>
        <w:t>One student representative reflected that “</w:t>
      </w:r>
      <w:r w:rsidR="00286A83" w:rsidRPr="00BA4055">
        <w:rPr>
          <w:i/>
          <w:iCs/>
          <w:sz w:val="24"/>
          <w:szCs w:val="24"/>
        </w:rPr>
        <w:t>we actually learned a lot</w:t>
      </w:r>
      <w:r w:rsidR="00286A83" w:rsidRPr="00286A83">
        <w:rPr>
          <w:sz w:val="24"/>
          <w:szCs w:val="24"/>
        </w:rPr>
        <w:t>”, noting that practical examples and structured approaches helped students understand auditing concepts more effectively.</w:t>
      </w:r>
      <w:r w:rsidR="00D4323D">
        <w:rPr>
          <w:sz w:val="24"/>
          <w:szCs w:val="24"/>
        </w:rPr>
        <w:t xml:space="preserve"> </w:t>
      </w:r>
    </w:p>
    <w:p w14:paraId="51CA1A4D" w14:textId="537DDDFE" w:rsidR="004B16E4" w:rsidRDefault="00E4381C" w:rsidP="0054542A">
      <w:pPr>
        <w:spacing w:afterLines="120" w:after="288" w:line="360" w:lineRule="auto"/>
        <w:jc w:val="both"/>
        <w:rPr>
          <w:sz w:val="24"/>
          <w:szCs w:val="24"/>
        </w:rPr>
      </w:pPr>
      <w:r w:rsidRPr="00E4381C">
        <w:rPr>
          <w:sz w:val="24"/>
          <w:szCs w:val="24"/>
        </w:rPr>
        <w:t>A</w:t>
      </w:r>
      <w:r w:rsidR="00E415C0">
        <w:rPr>
          <w:sz w:val="24"/>
          <w:szCs w:val="24"/>
        </w:rPr>
        <w:t xml:space="preserve">nother </w:t>
      </w:r>
      <w:r w:rsidRPr="00E4381C">
        <w:rPr>
          <w:sz w:val="24"/>
          <w:szCs w:val="24"/>
        </w:rPr>
        <w:t>student noted that “</w:t>
      </w:r>
      <w:r w:rsidRPr="00BA4055">
        <w:rPr>
          <w:i/>
          <w:iCs/>
          <w:sz w:val="24"/>
          <w:szCs w:val="24"/>
        </w:rPr>
        <w:t>we can communicate with him</w:t>
      </w:r>
      <w:r w:rsidRPr="00E4381C">
        <w:rPr>
          <w:sz w:val="24"/>
          <w:szCs w:val="24"/>
        </w:rPr>
        <w:t>” and that “</w:t>
      </w:r>
      <w:r w:rsidRPr="00BA4055">
        <w:rPr>
          <w:i/>
          <w:iCs/>
          <w:sz w:val="24"/>
          <w:szCs w:val="24"/>
        </w:rPr>
        <w:t>he makes things easy for us</w:t>
      </w:r>
      <w:r w:rsidRPr="00E4381C">
        <w:rPr>
          <w:sz w:val="24"/>
          <w:szCs w:val="24"/>
        </w:rPr>
        <w:t>”, while another commented that the lecturer “</w:t>
      </w:r>
      <w:r w:rsidRPr="00BA4055">
        <w:rPr>
          <w:i/>
          <w:iCs/>
          <w:sz w:val="24"/>
          <w:szCs w:val="24"/>
        </w:rPr>
        <w:t xml:space="preserve">responds to </w:t>
      </w:r>
      <w:r w:rsidRPr="00C21BBF">
        <w:rPr>
          <w:i/>
          <w:iCs/>
          <w:sz w:val="24"/>
          <w:szCs w:val="24"/>
        </w:rPr>
        <w:t>students’ problems on time</w:t>
      </w:r>
      <w:r w:rsidRPr="00E4381C">
        <w:rPr>
          <w:sz w:val="24"/>
          <w:szCs w:val="24"/>
        </w:rPr>
        <w:t>”.</w:t>
      </w:r>
      <w:r w:rsidR="00B54F1A">
        <w:rPr>
          <w:sz w:val="24"/>
          <w:szCs w:val="24"/>
        </w:rPr>
        <w:t xml:space="preserve"> </w:t>
      </w:r>
      <w:r w:rsidR="00B54F1A" w:rsidRPr="00B54F1A">
        <w:rPr>
          <w:sz w:val="24"/>
          <w:szCs w:val="24"/>
        </w:rPr>
        <w:t>Another student reflected that “after a test, he discusses where we had problems and advises us on answering questions in the future”, suggesting that support extended beyond assessment performance to ongoing academic development.</w:t>
      </w:r>
      <w:r w:rsidR="00B54F1A">
        <w:rPr>
          <w:sz w:val="24"/>
          <w:szCs w:val="24"/>
        </w:rPr>
        <w:t xml:space="preserve"> </w:t>
      </w:r>
      <w:r w:rsidRPr="00E4381C">
        <w:rPr>
          <w:sz w:val="24"/>
          <w:szCs w:val="24"/>
        </w:rPr>
        <w:t>These comments suggest that students experienced support not only in relation to content knowledge but also in relation to accessibility and responsiveness.</w:t>
      </w:r>
      <w:r w:rsidR="00CF0C0B">
        <w:rPr>
          <w:sz w:val="24"/>
          <w:szCs w:val="24"/>
        </w:rPr>
        <w:t xml:space="preserve"> </w:t>
      </w:r>
      <w:r w:rsidR="00693D25">
        <w:rPr>
          <w:sz w:val="24"/>
          <w:szCs w:val="24"/>
        </w:rPr>
        <w:t xml:space="preserve"> </w:t>
      </w:r>
      <w:r w:rsidR="00693D25" w:rsidRPr="00693D25">
        <w:rPr>
          <w:sz w:val="24"/>
          <w:szCs w:val="24"/>
        </w:rPr>
        <w:t>Former students indicated that learning experiences “ignited the passion” for auditing and continued to influence their professional practice after graduation.</w:t>
      </w:r>
    </w:p>
    <w:p w14:paraId="7F812D86" w14:textId="37D7CC6F" w:rsidR="00041C18" w:rsidRDefault="006E757E" w:rsidP="0054542A">
      <w:pPr>
        <w:spacing w:afterLines="120" w:after="288" w:line="360" w:lineRule="auto"/>
        <w:jc w:val="both"/>
        <w:rPr>
          <w:sz w:val="24"/>
          <w:szCs w:val="24"/>
        </w:rPr>
      </w:pPr>
      <w:r w:rsidRPr="006E757E">
        <w:rPr>
          <w:sz w:val="24"/>
          <w:szCs w:val="24"/>
        </w:rPr>
        <w:t>Evaluation data collected over multiple years indicated that between 70% and 90% of students reported positive experiences of learning, support, accessibility, and academic guidance, suggesting educational environments characterised by responsiveness and sustained support. This influence extended beyond formal evaluation scores, with students highlighting the value of consultation opportunities, structured learning resources, assessment guidance, accessibility, and developmental support. Former students further reflected on how these experiences contributed to professional identity formation, enhanced confidence, and informed career decisions, while some graduates noted that the analytical thinking, professional judgement, and discipline-specific understanding developed during their studies continued to shape their professional practice after graduation. Together, these findings suggest that the educational influence of the teaching extended beyond immediate assessment outcomes into graduates' longer-term personal and professional development.</w:t>
      </w:r>
    </w:p>
    <w:p w14:paraId="6E513BF0" w14:textId="19BCEA9C" w:rsidR="00E426EE" w:rsidRPr="00E426EE" w:rsidRDefault="0054542A" w:rsidP="0054542A">
      <w:pPr>
        <w:spacing w:afterLines="120" w:after="288" w:line="360" w:lineRule="auto"/>
        <w:jc w:val="both"/>
        <w:rPr>
          <w:sz w:val="24"/>
          <w:szCs w:val="24"/>
        </w:rPr>
      </w:pPr>
      <w:r w:rsidRPr="0054542A">
        <w:rPr>
          <w:sz w:val="24"/>
          <w:szCs w:val="24"/>
        </w:rPr>
        <w:t xml:space="preserve">The significance of this evidence lies in the consistency with which support, accessibility, and responsiveness appeared across student accounts. These characteristics align closely with the processes identified within Human Buffering and suggest that students experienced tangible </w:t>
      </w:r>
      <w:r w:rsidRPr="0054542A">
        <w:rPr>
          <w:sz w:val="24"/>
          <w:szCs w:val="24"/>
        </w:rPr>
        <w:lastRenderedPageBreak/>
        <w:t>benefits arising from practices intended to mediate the tensions between institutional demands and educational realities.</w:t>
      </w:r>
    </w:p>
    <w:p w14:paraId="69445214" w14:textId="5628772F" w:rsidR="0042136A" w:rsidRDefault="00286A83" w:rsidP="00E426EE">
      <w:pPr>
        <w:spacing w:afterLines="120" w:after="288" w:line="360" w:lineRule="auto"/>
        <w:jc w:val="both"/>
        <w:rPr>
          <w:b/>
          <w:bCs/>
          <w:sz w:val="24"/>
          <w:szCs w:val="24"/>
        </w:rPr>
      </w:pPr>
      <w:r>
        <w:rPr>
          <w:b/>
          <w:bCs/>
          <w:sz w:val="24"/>
          <w:szCs w:val="24"/>
        </w:rPr>
        <w:t xml:space="preserve">7.2 </w:t>
      </w:r>
      <w:r w:rsidR="0042136A" w:rsidRPr="0042136A">
        <w:rPr>
          <w:b/>
          <w:bCs/>
          <w:sz w:val="24"/>
          <w:szCs w:val="24"/>
        </w:rPr>
        <w:t>Quantitative Validation</w:t>
      </w:r>
    </w:p>
    <w:p w14:paraId="0589A3BB" w14:textId="77777777" w:rsidR="0042136A" w:rsidRPr="0042136A" w:rsidRDefault="0042136A" w:rsidP="0042136A">
      <w:pPr>
        <w:spacing w:afterLines="120" w:after="288" w:line="360" w:lineRule="auto"/>
        <w:jc w:val="both"/>
        <w:rPr>
          <w:sz w:val="24"/>
          <w:szCs w:val="24"/>
        </w:rPr>
      </w:pPr>
      <w:r w:rsidRPr="0042136A">
        <w:rPr>
          <w:sz w:val="24"/>
          <w:szCs w:val="24"/>
        </w:rPr>
        <w:t>Quantitative evidence provides a second source of validation. While educational outcomes are influenced by multiple factors and cannot be attributed solely to one intervention or individual, patterns evident within the teaching portfolio indicate sustained improvements in student achievement during the period under review. Overall pass rates improved from 85.8% in 2021 to 97.1% in 2025, while several modules achieved pass rates of 100%.</w:t>
      </w:r>
    </w:p>
    <w:p w14:paraId="191EAE4D" w14:textId="77777777" w:rsidR="0042136A" w:rsidRPr="0042136A" w:rsidRDefault="0042136A" w:rsidP="0042136A">
      <w:pPr>
        <w:spacing w:afterLines="120" w:after="288" w:line="360" w:lineRule="auto"/>
        <w:jc w:val="both"/>
        <w:rPr>
          <w:sz w:val="24"/>
          <w:szCs w:val="24"/>
        </w:rPr>
      </w:pPr>
      <w:r w:rsidRPr="0042136A">
        <w:rPr>
          <w:sz w:val="24"/>
          <w:szCs w:val="24"/>
        </w:rPr>
        <w:t>A particularly relevant example involved Project Management IV. Student evaluations and performance data identified challenges relating to confidence, engagement, and independent learning. In response, a series of interventions was implemented, including additional scaffolding, clearer assessment guidance, enhanced consultation opportunities, and improved learning resources. Subsequently, module pass rates improved from 79.2% and 80.0% in 2021 and 2022 to 94.6% and 94.4% in 2024 and 2025.</w:t>
      </w:r>
    </w:p>
    <w:p w14:paraId="0EF86CA2" w14:textId="77777777" w:rsidR="0042136A" w:rsidRDefault="0042136A" w:rsidP="0042136A">
      <w:pPr>
        <w:spacing w:afterLines="120" w:after="288" w:line="360" w:lineRule="auto"/>
        <w:jc w:val="both"/>
        <w:rPr>
          <w:sz w:val="24"/>
          <w:szCs w:val="24"/>
        </w:rPr>
      </w:pPr>
      <w:r w:rsidRPr="0042136A">
        <w:rPr>
          <w:sz w:val="24"/>
          <w:szCs w:val="24"/>
        </w:rPr>
        <w:t>These outcomes do not prove Human Buffering in isolation. However, they provide evidence that practices associated with mediation, adaptation, responsiveness, and developmental support contributed to positive educational outcomes. They also reinforce the argument that buffering actions seek not merely to address immediate difficulties but to sustain participation and educational continuity.</w:t>
      </w:r>
    </w:p>
    <w:p w14:paraId="7A9D272C" w14:textId="00DF1216" w:rsidR="00E426EE" w:rsidRPr="0030291B" w:rsidRDefault="00286A83" w:rsidP="0042136A">
      <w:pPr>
        <w:spacing w:afterLines="120" w:after="288" w:line="360" w:lineRule="auto"/>
        <w:jc w:val="both"/>
        <w:rPr>
          <w:b/>
          <w:bCs/>
          <w:sz w:val="24"/>
          <w:szCs w:val="24"/>
        </w:rPr>
      </w:pPr>
      <w:r>
        <w:rPr>
          <w:b/>
          <w:bCs/>
          <w:sz w:val="24"/>
          <w:szCs w:val="24"/>
        </w:rPr>
        <w:t xml:space="preserve">7.3 </w:t>
      </w:r>
      <w:r w:rsidR="00D74761" w:rsidRPr="00D74761">
        <w:rPr>
          <w:b/>
          <w:bCs/>
          <w:sz w:val="24"/>
          <w:szCs w:val="24"/>
        </w:rPr>
        <w:t>Community Validation</w:t>
      </w:r>
    </w:p>
    <w:p w14:paraId="094920C9" w14:textId="77777777" w:rsidR="000E6676" w:rsidRPr="000E6676" w:rsidRDefault="000E6676" w:rsidP="000E6676">
      <w:pPr>
        <w:spacing w:afterLines="120" w:after="288" w:line="360" w:lineRule="auto"/>
        <w:jc w:val="both"/>
        <w:rPr>
          <w:sz w:val="24"/>
          <w:szCs w:val="24"/>
        </w:rPr>
      </w:pPr>
      <w:r w:rsidRPr="000E6676">
        <w:rPr>
          <w:sz w:val="24"/>
          <w:szCs w:val="24"/>
        </w:rPr>
        <w:t>A third form of validation emerged through community engagement activities documented in the CEAD portfolio. While Human Buffering was initially identified through teaching and student support activities, the community engagement evidence suggests that the underlying practice extends beyond formal classroom environments.</w:t>
      </w:r>
    </w:p>
    <w:p w14:paraId="795D80E7" w14:textId="77777777" w:rsidR="000E6676" w:rsidRPr="000E6676" w:rsidRDefault="000E6676" w:rsidP="000E6676">
      <w:pPr>
        <w:spacing w:afterLines="120" w:after="288" w:line="360" w:lineRule="auto"/>
        <w:jc w:val="both"/>
        <w:rPr>
          <w:sz w:val="24"/>
          <w:szCs w:val="24"/>
        </w:rPr>
      </w:pPr>
      <w:r w:rsidRPr="000E6676">
        <w:rPr>
          <w:sz w:val="24"/>
          <w:szCs w:val="24"/>
        </w:rPr>
        <w:t xml:space="preserve">The TENUSA Community Engagement and Student Learning Initiative involved educational support for schools, food security interventions, support for vulnerable households, and student participation in community-based activities. Importantly, these engagements were </w:t>
      </w:r>
      <w:r w:rsidRPr="000E6676">
        <w:rPr>
          <w:sz w:val="24"/>
          <w:szCs w:val="24"/>
        </w:rPr>
        <w:lastRenderedPageBreak/>
        <w:t>guided by responsiveness to identified needs rather than predetermined solutions. This approach reflected many of the same characteristics evident within Human Buffering, including mediation, adaptation, advocacy, and responsiveness.</w:t>
      </w:r>
    </w:p>
    <w:p w14:paraId="5FA43275" w14:textId="392E8009" w:rsidR="000E6676" w:rsidRPr="000E6676" w:rsidRDefault="000E6676" w:rsidP="000E6676">
      <w:pPr>
        <w:spacing w:afterLines="120" w:after="288" w:line="360" w:lineRule="auto"/>
        <w:jc w:val="both"/>
        <w:rPr>
          <w:sz w:val="24"/>
          <w:szCs w:val="24"/>
        </w:rPr>
      </w:pPr>
      <w:r w:rsidRPr="000E6676">
        <w:rPr>
          <w:sz w:val="24"/>
          <w:szCs w:val="24"/>
        </w:rPr>
        <w:t>Student involvement provides particularly important validation. Participation in activities such as school uniform distribution and community support initiatives exposed students to socio-economic realities often absent from traditional classroom contexts. Informal reflections reported increased awareness of inequality, civic responsibility, empathy, and social accountability.</w:t>
      </w:r>
      <w:r w:rsidR="0066792A">
        <w:rPr>
          <w:sz w:val="24"/>
          <w:szCs w:val="24"/>
        </w:rPr>
        <w:t xml:space="preserve"> </w:t>
      </w:r>
      <w:r w:rsidR="00C5647C" w:rsidRPr="00C5647C">
        <w:rPr>
          <w:sz w:val="24"/>
          <w:szCs w:val="24"/>
        </w:rPr>
        <w:t>These outcomes indicate that the influence associated with Human Buffering was not limited to disciplinary learning but extended into students’ social understanding and responsiveness to community needs.</w:t>
      </w:r>
      <w:r w:rsidR="00C5647C">
        <w:rPr>
          <w:sz w:val="24"/>
          <w:szCs w:val="24"/>
        </w:rPr>
        <w:t xml:space="preserve"> </w:t>
      </w:r>
      <w:r w:rsidR="00CE0765" w:rsidRPr="00CE0765">
        <w:rPr>
          <w:sz w:val="24"/>
          <w:szCs w:val="24"/>
        </w:rPr>
        <w:t>These reflections are particularly important because they demonstrate that educational influence extended beyond classroom performance to include civic awareness, social responsibility and engagement with community realities.</w:t>
      </w:r>
      <w:r w:rsidR="00CE0765">
        <w:rPr>
          <w:sz w:val="24"/>
          <w:szCs w:val="24"/>
        </w:rPr>
        <w:t xml:space="preserve"> </w:t>
      </w:r>
      <w:r w:rsidR="0066792A" w:rsidRPr="0066792A">
        <w:rPr>
          <w:sz w:val="24"/>
          <w:szCs w:val="24"/>
        </w:rPr>
        <w:t>Student participants reported that community engagement activities increased their awareness of socio-economic inequality and reinforced the importance of contributing to society through professional practice.</w:t>
      </w:r>
      <w:r w:rsidR="0066792A">
        <w:rPr>
          <w:sz w:val="24"/>
          <w:szCs w:val="24"/>
        </w:rPr>
        <w:t xml:space="preserve"> </w:t>
      </w:r>
      <w:r w:rsidRPr="000E6676">
        <w:rPr>
          <w:sz w:val="24"/>
          <w:szCs w:val="24"/>
        </w:rPr>
        <w:t>These outcomes demonstrate educational influence extending beyond academic achievement to include personal and social learning.</w:t>
      </w:r>
    </w:p>
    <w:p w14:paraId="316DFBAE" w14:textId="639D9027" w:rsidR="00E426EE" w:rsidRDefault="000E6676" w:rsidP="000E6676">
      <w:pPr>
        <w:spacing w:afterLines="120" w:after="288" w:line="360" w:lineRule="auto"/>
        <w:jc w:val="both"/>
        <w:rPr>
          <w:sz w:val="24"/>
          <w:szCs w:val="24"/>
        </w:rPr>
      </w:pPr>
      <w:r w:rsidRPr="000E6676">
        <w:rPr>
          <w:sz w:val="24"/>
          <w:szCs w:val="24"/>
        </w:rPr>
        <w:t>The community evidence therefore suggests that buffering practices were not confined to individual academic modules but formed part of a broader values-based approach to educational and social engagement.</w:t>
      </w:r>
    </w:p>
    <w:p w14:paraId="1D8160DE" w14:textId="7BB5920F" w:rsidR="005F7647" w:rsidRPr="005F7647" w:rsidRDefault="00286A83" w:rsidP="005F7647">
      <w:pPr>
        <w:spacing w:afterLines="120" w:after="288" w:line="360" w:lineRule="auto"/>
        <w:jc w:val="both"/>
        <w:rPr>
          <w:b/>
          <w:bCs/>
          <w:sz w:val="24"/>
          <w:szCs w:val="24"/>
        </w:rPr>
      </w:pPr>
      <w:r>
        <w:rPr>
          <w:b/>
          <w:bCs/>
          <w:sz w:val="24"/>
          <w:szCs w:val="24"/>
        </w:rPr>
        <w:t xml:space="preserve">7.4 </w:t>
      </w:r>
      <w:r w:rsidR="00643567" w:rsidRPr="00643567">
        <w:rPr>
          <w:b/>
          <w:bCs/>
          <w:sz w:val="24"/>
          <w:szCs w:val="24"/>
        </w:rPr>
        <w:t>Institutional Validation</w:t>
      </w:r>
    </w:p>
    <w:p w14:paraId="1089F65F" w14:textId="77777777" w:rsidR="00BD2DD0" w:rsidRPr="00BD2DD0" w:rsidRDefault="00BD2DD0" w:rsidP="00BD2DD0">
      <w:pPr>
        <w:spacing w:afterLines="120" w:after="288" w:line="360" w:lineRule="auto"/>
        <w:jc w:val="both"/>
        <w:rPr>
          <w:sz w:val="24"/>
          <w:szCs w:val="24"/>
        </w:rPr>
      </w:pPr>
      <w:r w:rsidRPr="00BD2DD0">
        <w:rPr>
          <w:sz w:val="24"/>
          <w:szCs w:val="24"/>
        </w:rPr>
        <w:t>Institutional recognition provides a fourth form of validation. While awards and nominations do not constitute proof of theory, they do indicate that educational and community contributions were recognised as significant within the institutional environment. Evidence from the Vice-Chancellor’s Teaching Excellence submission highlighted contributions to student success, curriculum leadership, mentoring, assessment innovation, quality assurance, and teaching development.</w:t>
      </w:r>
    </w:p>
    <w:p w14:paraId="5562A933" w14:textId="77777777" w:rsidR="00BD2DD0" w:rsidRPr="00BD2DD0" w:rsidRDefault="00BD2DD0" w:rsidP="00BD2DD0">
      <w:pPr>
        <w:spacing w:afterLines="120" w:after="288" w:line="360" w:lineRule="auto"/>
        <w:jc w:val="both"/>
        <w:rPr>
          <w:sz w:val="24"/>
          <w:szCs w:val="24"/>
        </w:rPr>
      </w:pPr>
      <w:r w:rsidRPr="00BD2DD0">
        <w:rPr>
          <w:sz w:val="24"/>
          <w:szCs w:val="24"/>
        </w:rPr>
        <w:t xml:space="preserve">Similarly, the CEAD nomination recognised sustained community engagement, student development, partnership building, and socially responsive practice. The nomination </w:t>
      </w:r>
      <w:r w:rsidRPr="00BD2DD0">
        <w:rPr>
          <w:sz w:val="24"/>
          <w:szCs w:val="24"/>
        </w:rPr>
        <w:lastRenderedPageBreak/>
        <w:t>specifically highlighted the integration of student learning and community impact, demonstrating that the educational influence of the work was visible beyond individual teaching activities.</w:t>
      </w:r>
    </w:p>
    <w:p w14:paraId="3A206C3F" w14:textId="77777777" w:rsidR="00BD2DD0" w:rsidRDefault="00BD2DD0" w:rsidP="00BD2DD0">
      <w:pPr>
        <w:spacing w:afterLines="120" w:after="288" w:line="360" w:lineRule="auto"/>
        <w:jc w:val="both"/>
        <w:rPr>
          <w:sz w:val="24"/>
          <w:szCs w:val="24"/>
        </w:rPr>
      </w:pPr>
      <w:r w:rsidRPr="00BD2DD0">
        <w:rPr>
          <w:sz w:val="24"/>
          <w:szCs w:val="24"/>
        </w:rPr>
        <w:t>These forms of recognition suggest that the practices examined within this article were not experienced solely by the practitioner but were also visible to colleagues, institutional leadership, students, and community stakeholders.</w:t>
      </w:r>
    </w:p>
    <w:p w14:paraId="6990B22E" w14:textId="51559E55" w:rsidR="00BD2DD0" w:rsidRPr="001D3B9C" w:rsidRDefault="00C81FDF" w:rsidP="00BD2DD0">
      <w:pPr>
        <w:spacing w:afterLines="120" w:after="288" w:line="360" w:lineRule="auto"/>
        <w:jc w:val="both"/>
        <w:rPr>
          <w:b/>
          <w:bCs/>
          <w:sz w:val="24"/>
          <w:szCs w:val="24"/>
        </w:rPr>
      </w:pPr>
      <w:r>
        <w:rPr>
          <w:b/>
          <w:bCs/>
          <w:sz w:val="24"/>
          <w:szCs w:val="24"/>
        </w:rPr>
        <w:t xml:space="preserve">7.5 </w:t>
      </w:r>
      <w:r w:rsidR="001D3B9C" w:rsidRPr="001D3B9C">
        <w:rPr>
          <w:b/>
          <w:bCs/>
          <w:sz w:val="24"/>
          <w:szCs w:val="24"/>
        </w:rPr>
        <w:t>Scholarly Validation</w:t>
      </w:r>
    </w:p>
    <w:p w14:paraId="7BF9C5A1" w14:textId="77777777" w:rsidR="001D3B9C" w:rsidRPr="001D3B9C" w:rsidRDefault="001D3B9C" w:rsidP="001D3B9C">
      <w:pPr>
        <w:spacing w:afterLines="120" w:after="288" w:line="360" w:lineRule="auto"/>
        <w:jc w:val="both"/>
        <w:rPr>
          <w:sz w:val="24"/>
          <w:szCs w:val="24"/>
        </w:rPr>
      </w:pPr>
      <w:r w:rsidRPr="001D3B9C">
        <w:rPr>
          <w:sz w:val="24"/>
          <w:szCs w:val="24"/>
        </w:rPr>
        <w:t>The final source of validation emerged through scholarly activity. The doctoral inquiry itself provided a systematic and evidence-based investigation into conflicting practices in higher education and generated the conceptual foundations from which Human Buffering emerged. Through interviews, documentary analysis, systems thinking, reflection, and Living Theory inquiry, the doctoral study identified recurring tensions and responses that later informed the development of the concept.</w:t>
      </w:r>
    </w:p>
    <w:p w14:paraId="224B434D" w14:textId="77777777" w:rsidR="00EB6320" w:rsidRDefault="00867F17" w:rsidP="001D3B9C">
      <w:pPr>
        <w:spacing w:afterLines="120" w:after="288" w:line="360" w:lineRule="auto"/>
        <w:jc w:val="both"/>
        <w:rPr>
          <w:sz w:val="24"/>
          <w:szCs w:val="24"/>
        </w:rPr>
      </w:pPr>
      <w:r w:rsidRPr="00867F17">
        <w:rPr>
          <w:sz w:val="24"/>
          <w:szCs w:val="24"/>
        </w:rPr>
        <w:t xml:space="preserve">The concept was also refined through doctoral supervision, conference presentations, scholarly dialogue and the open review process itself. Feedback from </w:t>
      </w:r>
      <w:r w:rsidR="004D7700">
        <w:rPr>
          <w:sz w:val="24"/>
          <w:szCs w:val="24"/>
        </w:rPr>
        <w:t xml:space="preserve">peers and </w:t>
      </w:r>
      <w:r w:rsidR="00BC0918">
        <w:rPr>
          <w:sz w:val="24"/>
          <w:szCs w:val="24"/>
        </w:rPr>
        <w:t xml:space="preserve">discussions with my </w:t>
      </w:r>
      <w:r w:rsidR="004D7700">
        <w:rPr>
          <w:sz w:val="24"/>
          <w:szCs w:val="24"/>
        </w:rPr>
        <w:t>mentor</w:t>
      </w:r>
      <w:r w:rsidRPr="00867F17">
        <w:rPr>
          <w:sz w:val="24"/>
          <w:szCs w:val="24"/>
        </w:rPr>
        <w:t xml:space="preserve"> highlighted areas requiring greater conceptual clarity and validation, contributing to the further development of Human Buffering as an explanatory framework. </w:t>
      </w:r>
    </w:p>
    <w:p w14:paraId="31109A92" w14:textId="1B122612" w:rsidR="001D3B9C" w:rsidRPr="001D3B9C" w:rsidRDefault="001D3B9C" w:rsidP="001D3B9C">
      <w:pPr>
        <w:spacing w:afterLines="120" w:after="288" w:line="360" w:lineRule="auto"/>
        <w:jc w:val="both"/>
        <w:rPr>
          <w:sz w:val="24"/>
          <w:szCs w:val="24"/>
        </w:rPr>
      </w:pPr>
      <w:r w:rsidRPr="001D3B9C">
        <w:rPr>
          <w:sz w:val="24"/>
          <w:szCs w:val="24"/>
        </w:rPr>
        <w:t>The Vice-Chancellor’s portfolio further documented the use of doctoral scholarship to inform curriculum renewal, student support, mentoring, assessment design, and teaching innovation. Consequently, educational influence extended beyond practice into scholarly engagement and professional dialogue.</w:t>
      </w:r>
    </w:p>
    <w:p w14:paraId="0AF09E42" w14:textId="4BB8AA32" w:rsidR="001D3B9C" w:rsidRDefault="001D3B9C" w:rsidP="001D3B9C">
      <w:pPr>
        <w:spacing w:afterLines="120" w:after="288" w:line="360" w:lineRule="auto"/>
        <w:jc w:val="both"/>
        <w:rPr>
          <w:sz w:val="24"/>
          <w:szCs w:val="24"/>
        </w:rPr>
      </w:pPr>
      <w:r w:rsidRPr="001D3B9C">
        <w:rPr>
          <w:sz w:val="24"/>
          <w:szCs w:val="24"/>
        </w:rPr>
        <w:t>Taken together, these multiple forms of validation suggest that Human Buffering is more than an individual interpretation of experience. Evidence from students, educational outcomes, community engagement, institutional recognition, and scholarly activity indicates that the practices described in this article have influenced learning, participation, development, and educational opportunities across multiple contexts. In Living Theory terms, these outcomes provide evidence of educational influence and support the credibility of Human Buffering as a practitioner-generated explanation of educational practice.</w:t>
      </w:r>
    </w:p>
    <w:p w14:paraId="0FA1C00D" w14:textId="77777777" w:rsidR="00DF5770" w:rsidRPr="004717F7" w:rsidRDefault="00DF5770" w:rsidP="00DF5770">
      <w:pPr>
        <w:spacing w:afterLines="120" w:after="288" w:line="360" w:lineRule="auto"/>
        <w:jc w:val="both"/>
        <w:rPr>
          <w:b/>
          <w:bCs/>
          <w:sz w:val="24"/>
          <w:szCs w:val="24"/>
        </w:rPr>
      </w:pPr>
      <w:r w:rsidRPr="004717F7">
        <w:rPr>
          <w:b/>
          <w:bCs/>
          <w:sz w:val="24"/>
          <w:szCs w:val="24"/>
        </w:rPr>
        <w:lastRenderedPageBreak/>
        <w:t>8. Discussion</w:t>
      </w:r>
    </w:p>
    <w:p w14:paraId="0E2374AF" w14:textId="77777777" w:rsidR="00DF5770" w:rsidRPr="00DF5770" w:rsidRDefault="00DF5770" w:rsidP="00DF5770">
      <w:pPr>
        <w:spacing w:afterLines="120" w:after="288" w:line="360" w:lineRule="auto"/>
        <w:jc w:val="both"/>
        <w:rPr>
          <w:sz w:val="24"/>
          <w:szCs w:val="24"/>
        </w:rPr>
      </w:pPr>
      <w:r w:rsidRPr="00DF5770">
        <w:rPr>
          <w:sz w:val="24"/>
          <w:szCs w:val="24"/>
        </w:rPr>
        <w:t>The purpose of this discussion is to position Human Buffering within existing scholarship and to consider its contribution as an explanatory concept emerging from higher education practice. The findings suggest that Human Buffering does not replace existing concepts such as care, emotional labour, Ubuntu, or Living Theory. Rather, it integrates and extends aspects of each while providing a more explicit account of how academics mediate competing institutional and student demands within contexts characterised by constraint, vulnerability, and complexity.</w:t>
      </w:r>
    </w:p>
    <w:p w14:paraId="126AAAEE" w14:textId="54EF059F" w:rsidR="00DF5770" w:rsidRPr="004717F7" w:rsidRDefault="0017580B" w:rsidP="00DF5770">
      <w:pPr>
        <w:spacing w:afterLines="120" w:after="288" w:line="360" w:lineRule="auto"/>
        <w:jc w:val="both"/>
        <w:rPr>
          <w:b/>
          <w:bCs/>
          <w:sz w:val="24"/>
          <w:szCs w:val="24"/>
        </w:rPr>
      </w:pPr>
      <w:r>
        <w:rPr>
          <w:b/>
          <w:bCs/>
          <w:sz w:val="24"/>
          <w:szCs w:val="24"/>
        </w:rPr>
        <w:t xml:space="preserve">8.1 </w:t>
      </w:r>
      <w:r w:rsidR="00DF5770" w:rsidRPr="004717F7">
        <w:rPr>
          <w:b/>
          <w:bCs/>
          <w:sz w:val="24"/>
          <w:szCs w:val="24"/>
        </w:rPr>
        <w:t>Human Buffering and Care</w:t>
      </w:r>
    </w:p>
    <w:p w14:paraId="385E6E7F" w14:textId="77777777" w:rsidR="00DF5770" w:rsidRPr="00DF5770" w:rsidRDefault="00DF5770" w:rsidP="00DF5770">
      <w:pPr>
        <w:spacing w:afterLines="120" w:after="288" w:line="360" w:lineRule="auto"/>
        <w:jc w:val="both"/>
        <w:rPr>
          <w:sz w:val="24"/>
          <w:szCs w:val="24"/>
        </w:rPr>
      </w:pPr>
      <w:r w:rsidRPr="00DF5770">
        <w:rPr>
          <w:sz w:val="24"/>
          <w:szCs w:val="24"/>
        </w:rPr>
        <w:t xml:space="preserve">The findings demonstrate substantial overlap between Human Buffering and the ethics of care. Consistent with </w:t>
      </w:r>
      <w:proofErr w:type="spellStart"/>
      <w:r w:rsidRPr="00DF5770">
        <w:rPr>
          <w:sz w:val="24"/>
          <w:szCs w:val="24"/>
        </w:rPr>
        <w:t>Noddings</w:t>
      </w:r>
      <w:proofErr w:type="spellEnd"/>
      <w:r w:rsidRPr="00DF5770">
        <w:rPr>
          <w:sz w:val="24"/>
          <w:szCs w:val="24"/>
        </w:rPr>
        <w:t>' emphasis on relational responsiveness, attentiveness, and concern for learners, many of the practices identified in this inquiry involved actions intended to support students experiencing educational, social, or economic challenges. These included consultation, mentoring, academic guidance, referrals to support services, flexible access to learning resources, and efforts to sustain participation despite structural barriers.</w:t>
      </w:r>
    </w:p>
    <w:p w14:paraId="4B7F9AE9" w14:textId="592D4695" w:rsidR="004717F7" w:rsidRDefault="00DF5770" w:rsidP="00DF5770">
      <w:pPr>
        <w:spacing w:afterLines="120" w:after="288" w:line="360" w:lineRule="auto"/>
        <w:jc w:val="both"/>
        <w:rPr>
          <w:sz w:val="24"/>
          <w:szCs w:val="24"/>
        </w:rPr>
      </w:pPr>
      <w:r w:rsidRPr="00DF5770">
        <w:rPr>
          <w:sz w:val="24"/>
          <w:szCs w:val="24"/>
        </w:rPr>
        <w:t>However, Human Buffering extends beyond care by foregrounding the institutional context within which these actions occur. Care explains the relational and ethical dimensions of educational practice, but Human Buffering draws attention to the mediating work undertaken when institutional requirements collide with student realities. The concept therefore shifts the focus from care as a value to the practical processes through which care is enacted amid conflicting expectations. In this sense, Human Buffering may be understood as a form of applied or enacted care operating within organisational constraints.</w:t>
      </w:r>
    </w:p>
    <w:p w14:paraId="24D162FA" w14:textId="31AB2992" w:rsidR="00E44B92" w:rsidRDefault="00E44B92" w:rsidP="00DF5770">
      <w:pPr>
        <w:spacing w:afterLines="120" w:after="288" w:line="360" w:lineRule="auto"/>
        <w:jc w:val="both"/>
        <w:rPr>
          <w:sz w:val="24"/>
          <w:szCs w:val="24"/>
        </w:rPr>
      </w:pPr>
      <w:r w:rsidRPr="00E44B92">
        <w:rPr>
          <w:sz w:val="24"/>
          <w:szCs w:val="24"/>
        </w:rPr>
        <w:t>Human Buffering differs from care because it explicitly recognises organisational and policy constraints as part of educational practice. Whereas care explains ethical orientation, Human Buffering explains the educational work required to enact care within conflicting institutional environments.</w:t>
      </w:r>
      <w:r w:rsidR="00A6132D">
        <w:rPr>
          <w:sz w:val="24"/>
          <w:szCs w:val="24"/>
        </w:rPr>
        <w:t xml:space="preserve"> </w:t>
      </w:r>
      <w:r w:rsidR="00A6132D" w:rsidRPr="00A6132D">
        <w:rPr>
          <w:sz w:val="24"/>
          <w:szCs w:val="24"/>
        </w:rPr>
        <w:t>This distinction is important because caring orientations alone do not necessarily explain how practitioners work within environments where accountability and compassion frequently compete for attention.</w:t>
      </w:r>
    </w:p>
    <w:p w14:paraId="2E98B4B7" w14:textId="70159B5A" w:rsidR="00DF5770" w:rsidRPr="004717F7" w:rsidRDefault="0017580B" w:rsidP="00DF5770">
      <w:pPr>
        <w:spacing w:afterLines="120" w:after="288" w:line="360" w:lineRule="auto"/>
        <w:jc w:val="both"/>
        <w:rPr>
          <w:b/>
          <w:bCs/>
          <w:sz w:val="24"/>
          <w:szCs w:val="24"/>
        </w:rPr>
      </w:pPr>
      <w:r>
        <w:rPr>
          <w:b/>
          <w:bCs/>
          <w:sz w:val="24"/>
          <w:szCs w:val="24"/>
        </w:rPr>
        <w:lastRenderedPageBreak/>
        <w:t xml:space="preserve">8.2 </w:t>
      </w:r>
      <w:r w:rsidR="00DF5770" w:rsidRPr="004717F7">
        <w:rPr>
          <w:b/>
          <w:bCs/>
          <w:sz w:val="24"/>
          <w:szCs w:val="24"/>
        </w:rPr>
        <w:t>Human Buffering and Emotional Labour</w:t>
      </w:r>
    </w:p>
    <w:p w14:paraId="1004F331" w14:textId="77777777" w:rsidR="00DF5770" w:rsidRPr="00DF5770" w:rsidRDefault="00DF5770" w:rsidP="00DF5770">
      <w:pPr>
        <w:spacing w:afterLines="120" w:after="288" w:line="360" w:lineRule="auto"/>
        <w:jc w:val="both"/>
        <w:rPr>
          <w:sz w:val="24"/>
          <w:szCs w:val="24"/>
        </w:rPr>
      </w:pPr>
      <w:r w:rsidRPr="00DF5770">
        <w:rPr>
          <w:sz w:val="24"/>
          <w:szCs w:val="24"/>
        </w:rPr>
        <w:t>The findings also resonate with the literature on emotional labour. Throughout the inquiry, academics routinely encountered situations requiring empathy, patience, encouragement, resilience, and emotional regulation. Supporting students affected by poverty, food insecurity, academic uncertainty, or personal hardship frequently required emotional work extending beyond formal teaching responsibilities.</w:t>
      </w:r>
    </w:p>
    <w:p w14:paraId="737EFD22" w14:textId="77777777" w:rsidR="00DF5770" w:rsidRDefault="00DF5770" w:rsidP="00DF5770">
      <w:pPr>
        <w:spacing w:afterLines="120" w:after="288" w:line="360" w:lineRule="auto"/>
        <w:jc w:val="both"/>
        <w:rPr>
          <w:sz w:val="24"/>
          <w:szCs w:val="24"/>
        </w:rPr>
      </w:pPr>
      <w:r w:rsidRPr="00DF5770">
        <w:rPr>
          <w:sz w:val="24"/>
          <w:szCs w:val="24"/>
        </w:rPr>
        <w:t>Yet the findings suggest that Human Buffering encompasses more than emotional management. Emotional labour focuses primarily on how professionals regulate emotions within workplace contexts. Human Buffering includes these emotional dimensions but extends further into the realms of mediation, advocacy, translation, adaptation, and educational continuity. The emphasis is not simply on managing emotional demands but on creating practical pathways that allow students to remain engaged with learning despite adversity. Consequently, emotional labour may be viewed as one element within Human Buffering rather than a complete explanation of the phenomenon.</w:t>
      </w:r>
    </w:p>
    <w:p w14:paraId="7B9A914A" w14:textId="15CEB7FA" w:rsidR="00B03E34" w:rsidRPr="00DF5770" w:rsidRDefault="00B03E34" w:rsidP="00DF5770">
      <w:pPr>
        <w:spacing w:afterLines="120" w:after="288" w:line="360" w:lineRule="auto"/>
        <w:jc w:val="both"/>
        <w:rPr>
          <w:sz w:val="24"/>
          <w:szCs w:val="24"/>
        </w:rPr>
      </w:pPr>
      <w:r w:rsidRPr="00B03E34">
        <w:rPr>
          <w:sz w:val="24"/>
          <w:szCs w:val="24"/>
        </w:rPr>
        <w:t>Emotional labour focuses on the management of feelings. Human Buffering includes emotional work but extends beyond it by incorporating adaptation, negotiation, translation and advocacy as responses to systemic pressures.</w:t>
      </w:r>
      <w:r w:rsidR="00A6132D">
        <w:rPr>
          <w:sz w:val="24"/>
          <w:szCs w:val="24"/>
        </w:rPr>
        <w:t xml:space="preserve"> </w:t>
      </w:r>
      <w:r w:rsidR="00730DD3" w:rsidRPr="00730DD3">
        <w:rPr>
          <w:sz w:val="24"/>
          <w:szCs w:val="24"/>
        </w:rPr>
        <w:t>Consequently, emotional labour helps explain part of the phenomenon, but does not sufficiently account for the educational, organisational and relational complexity visible in this inquiry.</w:t>
      </w:r>
    </w:p>
    <w:p w14:paraId="5312F2B6" w14:textId="516B0921" w:rsidR="00DF5770" w:rsidRPr="005B4BAD" w:rsidRDefault="0017580B" w:rsidP="00DF5770">
      <w:pPr>
        <w:spacing w:afterLines="120" w:after="288" w:line="360" w:lineRule="auto"/>
        <w:jc w:val="both"/>
        <w:rPr>
          <w:b/>
          <w:bCs/>
          <w:sz w:val="24"/>
          <w:szCs w:val="24"/>
        </w:rPr>
      </w:pPr>
      <w:r>
        <w:rPr>
          <w:b/>
          <w:bCs/>
          <w:sz w:val="24"/>
          <w:szCs w:val="24"/>
        </w:rPr>
        <w:t xml:space="preserve">8.3 </w:t>
      </w:r>
      <w:r w:rsidR="00DF5770" w:rsidRPr="005B4BAD">
        <w:rPr>
          <w:b/>
          <w:bCs/>
          <w:sz w:val="24"/>
          <w:szCs w:val="24"/>
        </w:rPr>
        <w:t>Human Buffering and Ubuntu</w:t>
      </w:r>
    </w:p>
    <w:p w14:paraId="32D762F1" w14:textId="77777777" w:rsidR="00DF5770" w:rsidRPr="00DF5770" w:rsidRDefault="00DF5770" w:rsidP="00DF5770">
      <w:pPr>
        <w:spacing w:afterLines="120" w:after="288" w:line="360" w:lineRule="auto"/>
        <w:jc w:val="both"/>
        <w:rPr>
          <w:sz w:val="24"/>
          <w:szCs w:val="24"/>
        </w:rPr>
      </w:pPr>
      <w:r w:rsidRPr="00DF5770">
        <w:rPr>
          <w:sz w:val="24"/>
          <w:szCs w:val="24"/>
        </w:rPr>
        <w:t xml:space="preserve">The role of Ubuntu was evident throughout the evidence base, particularly within recurring commitments to dignity, inclusion, relationality, and social responsibility. The practices identified in the </w:t>
      </w:r>
      <w:proofErr w:type="spellStart"/>
      <w:r w:rsidRPr="00DF5770">
        <w:rPr>
          <w:sz w:val="24"/>
          <w:szCs w:val="24"/>
        </w:rPr>
        <w:t>PGDipHE</w:t>
      </w:r>
      <w:proofErr w:type="spellEnd"/>
      <w:r w:rsidRPr="00DF5770">
        <w:rPr>
          <w:sz w:val="24"/>
          <w:szCs w:val="24"/>
        </w:rPr>
        <w:t xml:space="preserve"> portfolio, doctoral inquiry, teaching portfolio, and community engagement work consistently reflected values associated with recognising the humanity of students and communities. Efforts to support participation, maintain dignity, address hardship, and foster inclusion align strongly with Ubuntu's emphasis on interconnectedness and mutual responsibility.</w:t>
      </w:r>
    </w:p>
    <w:p w14:paraId="2CC20367" w14:textId="4D6FD637" w:rsidR="001D3B9C" w:rsidRDefault="00DF5770" w:rsidP="00DF5770">
      <w:pPr>
        <w:spacing w:afterLines="120" w:after="288" w:line="360" w:lineRule="auto"/>
        <w:jc w:val="both"/>
        <w:rPr>
          <w:sz w:val="24"/>
          <w:szCs w:val="24"/>
        </w:rPr>
      </w:pPr>
      <w:r w:rsidRPr="00DF5770">
        <w:rPr>
          <w:sz w:val="24"/>
          <w:szCs w:val="24"/>
        </w:rPr>
        <w:lastRenderedPageBreak/>
        <w:t>Human Buffering may therefore be understood as one way in which Ubuntu becomes operationalised within higher education practice. Whereas Ubuntu provides the ethical and relational foundation, Human Buffering explains the actions through which these values are enacted. It offers a practical description of how dignity and inclusion are negotiated and sustained when structural realities threaten student participation and educational opportunity.</w:t>
      </w:r>
    </w:p>
    <w:p w14:paraId="320C59C8" w14:textId="6D00AF60" w:rsidR="0095228B" w:rsidRDefault="0095228B" w:rsidP="00DF5770">
      <w:pPr>
        <w:spacing w:afterLines="120" w:after="288" w:line="360" w:lineRule="auto"/>
        <w:jc w:val="both"/>
        <w:rPr>
          <w:sz w:val="24"/>
          <w:szCs w:val="24"/>
        </w:rPr>
      </w:pPr>
      <w:r w:rsidRPr="0095228B">
        <w:rPr>
          <w:sz w:val="24"/>
          <w:szCs w:val="24"/>
        </w:rPr>
        <w:t>Human Buffering may therefore be interpreted as a practical enactment of Ubuntu within higher education, particularly where dignity and participation are threatened by socio-economic disadvantage.</w:t>
      </w:r>
      <w:r w:rsidR="00476959">
        <w:rPr>
          <w:sz w:val="24"/>
          <w:szCs w:val="24"/>
        </w:rPr>
        <w:t xml:space="preserve"> </w:t>
      </w:r>
      <w:r w:rsidR="006F66D3" w:rsidRPr="006F66D3">
        <w:rPr>
          <w:sz w:val="24"/>
          <w:szCs w:val="24"/>
        </w:rPr>
        <w:t>Human Buffering therefore contributes an operational dimension to Ubuntu by explaining how these values are enacted within specific educational contexts characterised by contradiction and constraint.</w:t>
      </w:r>
    </w:p>
    <w:p w14:paraId="2489848E" w14:textId="03A949B3" w:rsidR="009044B2" w:rsidRPr="009044B2" w:rsidRDefault="0017580B" w:rsidP="009044B2">
      <w:pPr>
        <w:spacing w:afterLines="120" w:after="288" w:line="360" w:lineRule="auto"/>
        <w:jc w:val="both"/>
        <w:rPr>
          <w:b/>
          <w:bCs/>
          <w:sz w:val="24"/>
          <w:szCs w:val="24"/>
        </w:rPr>
      </w:pPr>
      <w:r>
        <w:rPr>
          <w:b/>
          <w:bCs/>
          <w:sz w:val="24"/>
          <w:szCs w:val="24"/>
        </w:rPr>
        <w:t xml:space="preserve">8.4 </w:t>
      </w:r>
      <w:r w:rsidR="009044B2" w:rsidRPr="009044B2">
        <w:rPr>
          <w:b/>
          <w:bCs/>
          <w:sz w:val="24"/>
          <w:szCs w:val="24"/>
        </w:rPr>
        <w:t>Human Buffering and Living Theory</w:t>
      </w:r>
    </w:p>
    <w:p w14:paraId="358E998B" w14:textId="77777777" w:rsidR="009044B2" w:rsidRPr="009044B2" w:rsidRDefault="009044B2" w:rsidP="009044B2">
      <w:pPr>
        <w:spacing w:afterLines="120" w:after="288" w:line="360" w:lineRule="auto"/>
        <w:jc w:val="both"/>
        <w:rPr>
          <w:sz w:val="24"/>
          <w:szCs w:val="24"/>
        </w:rPr>
      </w:pPr>
      <w:r w:rsidRPr="009044B2">
        <w:rPr>
          <w:sz w:val="24"/>
          <w:szCs w:val="24"/>
        </w:rPr>
        <w:t>Perhaps the closest relationship exists between Human Buffering and Living Theory. Whitehead's notion of the living contradiction provided an important lens through which recurring tensions became visible. The doctoral inquiry identified persistent contradictions between institutional expectations and educational values associated with care, inclusion, student development, and participation. These contradictions generated the conditions that prompted reflection and inquiry.</w:t>
      </w:r>
    </w:p>
    <w:p w14:paraId="70997179" w14:textId="77777777" w:rsidR="009044B2" w:rsidRPr="009044B2" w:rsidRDefault="009044B2" w:rsidP="009044B2">
      <w:pPr>
        <w:spacing w:afterLines="120" w:after="288" w:line="360" w:lineRule="auto"/>
        <w:jc w:val="both"/>
        <w:rPr>
          <w:sz w:val="24"/>
          <w:szCs w:val="24"/>
        </w:rPr>
      </w:pPr>
      <w:r w:rsidRPr="009044B2">
        <w:rPr>
          <w:sz w:val="24"/>
          <w:szCs w:val="24"/>
        </w:rPr>
        <w:t>Human Buffering emerged through this process of practitioner inquiry. It was not imposed through external theoretical frameworks but arose inductively through sustained reflection on practice across two decades. In Living Theory terms, Human Buffering represents a practitioner-generated explanation of educational influence rooted in lived experience. The concept therefore reflects one possible answer to Whitehead's question</w:t>
      </w:r>
      <w:r w:rsidRPr="00991B96">
        <w:rPr>
          <w:b/>
          <w:bCs/>
          <w:i/>
          <w:iCs/>
          <w:sz w:val="24"/>
          <w:szCs w:val="24"/>
        </w:rPr>
        <w:t>: How do I improve what I am doing?</w:t>
      </w:r>
      <w:r w:rsidRPr="009044B2">
        <w:rPr>
          <w:sz w:val="24"/>
          <w:szCs w:val="24"/>
        </w:rPr>
        <w:t xml:space="preserve"> It captures the recurring actions through which conflicting practices were negotiated and educational possibilities sustained.</w:t>
      </w:r>
    </w:p>
    <w:p w14:paraId="6F36D66E" w14:textId="121343B7" w:rsidR="005B4BAD" w:rsidRDefault="009044B2" w:rsidP="009044B2">
      <w:pPr>
        <w:spacing w:afterLines="120" w:after="288" w:line="360" w:lineRule="auto"/>
        <w:jc w:val="both"/>
        <w:rPr>
          <w:sz w:val="24"/>
          <w:szCs w:val="24"/>
        </w:rPr>
      </w:pPr>
      <w:r w:rsidRPr="009044B2">
        <w:rPr>
          <w:sz w:val="24"/>
          <w:szCs w:val="24"/>
        </w:rPr>
        <w:t xml:space="preserve">Viewed collectively, the findings suggest that Human Buffering occupies a conceptual space at the intersection of care, emotional labour, Ubuntu, and Living Theory. Its distinctive contribution lies in explaining how academics mediate competing demands while seeking to </w:t>
      </w:r>
      <w:r w:rsidRPr="009044B2">
        <w:rPr>
          <w:sz w:val="24"/>
          <w:szCs w:val="24"/>
        </w:rPr>
        <w:lastRenderedPageBreak/>
        <w:t>preserve dignity, participation, continuity, and educational influence. In doing so, it offers a contextually grounded explanation of educational practice within contemporary higher education environments characterised by complexity and contradiction.</w:t>
      </w:r>
    </w:p>
    <w:p w14:paraId="1919CE12" w14:textId="280EDFAF" w:rsidR="00847BE9" w:rsidRDefault="00847BE9" w:rsidP="009044B2">
      <w:pPr>
        <w:spacing w:afterLines="120" w:after="288" w:line="360" w:lineRule="auto"/>
        <w:jc w:val="both"/>
        <w:rPr>
          <w:sz w:val="24"/>
          <w:szCs w:val="24"/>
        </w:rPr>
      </w:pPr>
      <w:r w:rsidRPr="00847BE9">
        <w:rPr>
          <w:sz w:val="24"/>
          <w:szCs w:val="24"/>
        </w:rPr>
        <w:t>Unlike externally imposed frameworks, Human Buffering emerged inductively through practitioner inquiry. Its significance therefore lies not only in the explanation it offers but also in the process through which it was generated.</w:t>
      </w:r>
    </w:p>
    <w:p w14:paraId="3AF86110" w14:textId="77777777" w:rsidR="00863FF7" w:rsidRPr="00863FF7" w:rsidRDefault="00863FF7" w:rsidP="00863FF7">
      <w:pPr>
        <w:spacing w:afterLines="120" w:after="288" w:line="360" w:lineRule="auto"/>
        <w:jc w:val="both"/>
        <w:rPr>
          <w:b/>
          <w:bCs/>
          <w:sz w:val="24"/>
          <w:szCs w:val="24"/>
        </w:rPr>
      </w:pPr>
      <w:r w:rsidRPr="00863FF7">
        <w:rPr>
          <w:b/>
          <w:bCs/>
          <w:sz w:val="24"/>
          <w:szCs w:val="24"/>
        </w:rPr>
        <w:t>9. Conclusion</w:t>
      </w:r>
    </w:p>
    <w:p w14:paraId="3DED2CE0" w14:textId="77777777" w:rsidR="00863FF7" w:rsidRPr="00863FF7" w:rsidRDefault="00863FF7" w:rsidP="00863FF7">
      <w:pPr>
        <w:spacing w:afterLines="120" w:after="288" w:line="360" w:lineRule="auto"/>
        <w:jc w:val="both"/>
        <w:rPr>
          <w:sz w:val="24"/>
          <w:szCs w:val="24"/>
        </w:rPr>
      </w:pPr>
      <w:r w:rsidRPr="00863FF7">
        <w:rPr>
          <w:sz w:val="24"/>
          <w:szCs w:val="24"/>
        </w:rPr>
        <w:t>This article set out to examine how a twenty-year Living Theory inquiry into higher education practice contributed to the emergence of Human Buffering. In doing so, it responded directly to the question of how a practitioner’s sustained engagement with educational realities can generate new conceptual understanding. Rather than beginning with theory and searching for evidence, the inquiry began with lived experience and sought to understand recurring patterns within that experience.</w:t>
      </w:r>
    </w:p>
    <w:p w14:paraId="6BFA757A" w14:textId="77777777" w:rsidR="00863FF7" w:rsidRPr="00863FF7" w:rsidRDefault="00863FF7" w:rsidP="00863FF7">
      <w:pPr>
        <w:spacing w:afterLines="120" w:after="288" w:line="360" w:lineRule="auto"/>
        <w:jc w:val="both"/>
        <w:rPr>
          <w:sz w:val="24"/>
          <w:szCs w:val="24"/>
        </w:rPr>
      </w:pPr>
      <w:r w:rsidRPr="00863FF7">
        <w:rPr>
          <w:sz w:val="24"/>
          <w:szCs w:val="24"/>
        </w:rPr>
        <w:t>The findings revealed that higher education practice was characterised by persistent contradictions between institutional expectations and student realities. Across two decades, tensions emerged around poverty, food insecurity, language barriers, student under-preparedness, throughput requirements, research productivity expectations, workload demands, and community responsibilities. These tensions were not isolated events but recurring features of academic life within a South African University of Technology.</w:t>
      </w:r>
    </w:p>
    <w:p w14:paraId="136EBFDD" w14:textId="77777777" w:rsidR="00863FF7" w:rsidRPr="00863FF7" w:rsidRDefault="00863FF7" w:rsidP="00863FF7">
      <w:pPr>
        <w:spacing w:afterLines="120" w:after="288" w:line="360" w:lineRule="auto"/>
        <w:jc w:val="both"/>
        <w:rPr>
          <w:sz w:val="24"/>
          <w:szCs w:val="24"/>
        </w:rPr>
      </w:pPr>
      <w:r w:rsidRPr="00863FF7">
        <w:rPr>
          <w:sz w:val="24"/>
          <w:szCs w:val="24"/>
        </w:rPr>
        <w:t>Through critical reflection and practitioner inquiry, these experiences became increasingly visible and intelligible. The journey from intuitive responses to systematic reflection exposed a recurring pattern of educational action in which mediation, translation, adaptation, advocacy, and responsiveness were repeatedly employed to sustain participation and educational continuity. It was through this process that Human Buffering emerged as a way of explaining how academics navigate conflicting practices without abandoning commitments to care, dignity, inclusion, and student success.</w:t>
      </w:r>
    </w:p>
    <w:p w14:paraId="4E9DDC13" w14:textId="77777777" w:rsidR="00863FF7" w:rsidRPr="00863FF7" w:rsidRDefault="00863FF7" w:rsidP="00863FF7">
      <w:pPr>
        <w:spacing w:afterLines="120" w:after="288" w:line="360" w:lineRule="auto"/>
        <w:jc w:val="both"/>
        <w:rPr>
          <w:sz w:val="24"/>
          <w:szCs w:val="24"/>
        </w:rPr>
      </w:pPr>
      <w:r w:rsidRPr="00863FF7">
        <w:rPr>
          <w:sz w:val="24"/>
          <w:szCs w:val="24"/>
        </w:rPr>
        <w:t xml:space="preserve">The concept was further strengthened through multiple forms of validation. Evidence from student evaluations, educational outcomes, community engagement activities, institutional </w:t>
      </w:r>
      <w:r w:rsidRPr="00863FF7">
        <w:rPr>
          <w:sz w:val="24"/>
          <w:szCs w:val="24"/>
        </w:rPr>
        <w:lastRenderedPageBreak/>
        <w:t>recognition, and scholarly inquiry demonstrated educational influence extending beyond individual reflection into the learning of students, colleagues, programmes, and communities. These different forms of validation support the credibility of Human Buffering as an emergent explanatory concept rather than a personal interpretation of experience.</w:t>
      </w:r>
    </w:p>
    <w:p w14:paraId="2D2276A5" w14:textId="77777777" w:rsidR="00863FF7" w:rsidRPr="00863FF7" w:rsidRDefault="00863FF7" w:rsidP="00863FF7">
      <w:pPr>
        <w:spacing w:afterLines="120" w:after="288" w:line="360" w:lineRule="auto"/>
        <w:jc w:val="both"/>
        <w:rPr>
          <w:sz w:val="24"/>
          <w:szCs w:val="24"/>
        </w:rPr>
      </w:pPr>
      <w:r w:rsidRPr="00863FF7">
        <w:rPr>
          <w:sz w:val="24"/>
          <w:szCs w:val="24"/>
        </w:rPr>
        <w:t>The article contributes a practitioner-generated theory, evidence of educational influence, and a Living Theory account of concept formation. In doing so, it extends existing conversations concerning care, emotional labour, academic identity, and Ubuntu by providing a framework for understanding how academics mediate competing demands within complex higher education environments.</w:t>
      </w:r>
    </w:p>
    <w:p w14:paraId="4B74237E" w14:textId="76685BFB" w:rsidR="005B4BAD" w:rsidRDefault="00863FF7" w:rsidP="00863FF7">
      <w:pPr>
        <w:spacing w:afterLines="120" w:after="288" w:line="360" w:lineRule="auto"/>
        <w:jc w:val="both"/>
        <w:rPr>
          <w:sz w:val="24"/>
          <w:szCs w:val="24"/>
        </w:rPr>
      </w:pPr>
      <w:r w:rsidRPr="00863FF7">
        <w:rPr>
          <w:sz w:val="24"/>
          <w:szCs w:val="24"/>
        </w:rPr>
        <w:t>Human Buffering emerged not as a theoretical abstraction but as an explanation of lived educational practice developed through twenty years of responding to conflicting realities in higher education.</w:t>
      </w:r>
    </w:p>
    <w:p w14:paraId="088D434B" w14:textId="60A172E7" w:rsidR="007A6C2D" w:rsidRDefault="007A6C2D" w:rsidP="00BD2DD0">
      <w:pPr>
        <w:spacing w:afterLines="120" w:after="288" w:line="360" w:lineRule="auto"/>
        <w:jc w:val="both"/>
        <w:rPr>
          <w:sz w:val="24"/>
          <w:szCs w:val="24"/>
        </w:rPr>
      </w:pPr>
      <w:r w:rsidRPr="00B87EFB">
        <w:rPr>
          <w:sz w:val="24"/>
          <w:szCs w:val="24"/>
        </w:rPr>
        <w:br w:type="page"/>
      </w:r>
    </w:p>
    <w:p w14:paraId="700569C7" w14:textId="77777777" w:rsidR="00CE6675" w:rsidRPr="00CE6675" w:rsidRDefault="00CE6675" w:rsidP="006C10C2">
      <w:pPr>
        <w:pStyle w:val="EjoltHeading1"/>
      </w:pPr>
      <w:r w:rsidRPr="00CE6675">
        <w:lastRenderedPageBreak/>
        <w:t>References</w:t>
      </w:r>
    </w:p>
    <w:p w14:paraId="2E857C35" w14:textId="77777777" w:rsidR="00A00249" w:rsidRDefault="00A00249" w:rsidP="00C41D24">
      <w:pPr>
        <w:spacing w:after="120" w:line="360" w:lineRule="auto"/>
        <w:ind w:left="720" w:hanging="720"/>
        <w:jc w:val="both"/>
        <w:rPr>
          <w:sz w:val="24"/>
          <w:szCs w:val="24"/>
        </w:rPr>
      </w:pPr>
    </w:p>
    <w:p w14:paraId="2CF168B9" w14:textId="77777777" w:rsidR="001549B3" w:rsidRPr="001549B3" w:rsidRDefault="001549B3" w:rsidP="001549B3">
      <w:pPr>
        <w:spacing w:after="120" w:line="360" w:lineRule="auto"/>
        <w:ind w:left="720" w:hanging="720"/>
        <w:jc w:val="both"/>
        <w:rPr>
          <w:sz w:val="24"/>
          <w:szCs w:val="24"/>
        </w:rPr>
      </w:pPr>
      <w:r w:rsidRPr="001549B3">
        <w:rPr>
          <w:sz w:val="24"/>
          <w:szCs w:val="24"/>
        </w:rPr>
        <w:t>Adler-Collins, J. (2018). Living theory research as a way of life. In J. Whitehead (Ed.), Living Theory Research and Global Educational Improvement. Bath, UK: Education Research Books.</w:t>
      </w:r>
    </w:p>
    <w:p w14:paraId="444B3D86"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5841FFD" w14:textId="77777777" w:rsidR="001549B3" w:rsidRPr="001549B3" w:rsidRDefault="001549B3" w:rsidP="001549B3">
      <w:pPr>
        <w:spacing w:after="120" w:line="360" w:lineRule="auto"/>
        <w:ind w:left="720" w:hanging="720"/>
        <w:jc w:val="both"/>
        <w:rPr>
          <w:sz w:val="24"/>
          <w:szCs w:val="24"/>
        </w:rPr>
      </w:pPr>
      <w:r w:rsidRPr="001549B3">
        <w:rPr>
          <w:sz w:val="24"/>
          <w:szCs w:val="24"/>
        </w:rPr>
        <w:t>Barkhuizen, G. (2021). Language teacher wellbeing and identity. Cambridge, UK: Cambridge University Press.</w:t>
      </w:r>
    </w:p>
    <w:p w14:paraId="08CBEC6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237F2F3"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Bozalek</w:t>
      </w:r>
      <w:proofErr w:type="spellEnd"/>
      <w:r w:rsidRPr="001549B3">
        <w:rPr>
          <w:sz w:val="24"/>
          <w:szCs w:val="24"/>
        </w:rPr>
        <w:t xml:space="preserve">, V., &amp; </w:t>
      </w:r>
      <w:proofErr w:type="spellStart"/>
      <w:r w:rsidRPr="001549B3">
        <w:rPr>
          <w:sz w:val="24"/>
          <w:szCs w:val="24"/>
        </w:rPr>
        <w:t>Zembylas</w:t>
      </w:r>
      <w:proofErr w:type="spellEnd"/>
      <w:r w:rsidRPr="001549B3">
        <w:rPr>
          <w:sz w:val="24"/>
          <w:szCs w:val="24"/>
        </w:rPr>
        <w:t>, M. (2017). Towards a response-able pedagogy across higher education institutions in post-apartheid South Africa. Education as Change, 21(2), 62–85.</w:t>
      </w:r>
    </w:p>
    <w:p w14:paraId="0770001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EC115F9" w14:textId="77777777" w:rsidR="001549B3" w:rsidRPr="001549B3" w:rsidRDefault="001549B3" w:rsidP="001549B3">
      <w:pPr>
        <w:spacing w:after="120" w:line="360" w:lineRule="auto"/>
        <w:ind w:left="720" w:hanging="720"/>
        <w:jc w:val="both"/>
        <w:rPr>
          <w:sz w:val="24"/>
          <w:szCs w:val="24"/>
        </w:rPr>
      </w:pPr>
      <w:r w:rsidRPr="001549B3">
        <w:rPr>
          <w:sz w:val="24"/>
          <w:szCs w:val="24"/>
        </w:rPr>
        <w:t>Boughey, C., &amp; McKenna, S. (2021). Understanding higher education: Alternative perspectives. Cape Town, South Africa: African Minds.</w:t>
      </w:r>
    </w:p>
    <w:p w14:paraId="0074EF9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11735C4"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Checkland</w:t>
      </w:r>
      <w:proofErr w:type="spellEnd"/>
      <w:r w:rsidRPr="001549B3">
        <w:rPr>
          <w:sz w:val="24"/>
          <w:szCs w:val="24"/>
        </w:rPr>
        <w:t>, P., &amp; Poulter, J. (2006). Learning for action: A short definitive account of soft systems methodology. Chichester, UK: John Wiley &amp; Sons.</w:t>
      </w:r>
    </w:p>
    <w:p w14:paraId="12765A80"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17AAB9D" w14:textId="77777777" w:rsidR="001549B3" w:rsidRPr="001549B3" w:rsidRDefault="001549B3" w:rsidP="001549B3">
      <w:pPr>
        <w:spacing w:after="120" w:line="360" w:lineRule="auto"/>
        <w:ind w:left="720" w:hanging="720"/>
        <w:jc w:val="both"/>
        <w:rPr>
          <w:sz w:val="24"/>
          <w:szCs w:val="24"/>
        </w:rPr>
      </w:pPr>
      <w:r w:rsidRPr="001549B3">
        <w:rPr>
          <w:sz w:val="24"/>
          <w:szCs w:val="24"/>
        </w:rPr>
        <w:t>Cochran-Smith, M., &amp; Lytle, S. L. (2009). Inquiry as stance: Practitioner research for the next generation. New York, NY: Teachers College Press.</w:t>
      </w:r>
    </w:p>
    <w:p w14:paraId="3A1696B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F9FCEA2"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Czerniewicz</w:t>
      </w:r>
      <w:proofErr w:type="spellEnd"/>
      <w:r w:rsidRPr="001549B3">
        <w:rPr>
          <w:sz w:val="24"/>
          <w:szCs w:val="24"/>
        </w:rPr>
        <w:t>, L. (2018). Inequality as higher education goes online. In N. B. Dohn et al. (Eds.), Networked learning: Reflections and challenges (pp. 95–106). Cham, Switzerland: Springer.</w:t>
      </w:r>
    </w:p>
    <w:p w14:paraId="00C6D786"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746EBC5" w14:textId="77777777" w:rsidR="001549B3" w:rsidRPr="001549B3" w:rsidRDefault="001549B3" w:rsidP="001549B3">
      <w:pPr>
        <w:spacing w:after="120" w:line="360" w:lineRule="auto"/>
        <w:ind w:left="720" w:hanging="720"/>
        <w:jc w:val="both"/>
        <w:rPr>
          <w:sz w:val="24"/>
          <w:szCs w:val="24"/>
        </w:rPr>
      </w:pPr>
      <w:r w:rsidRPr="001549B3">
        <w:rPr>
          <w:sz w:val="24"/>
          <w:szCs w:val="24"/>
        </w:rPr>
        <w:lastRenderedPageBreak/>
        <w:t>Delong, J. (2013). Living educational theory research and professional learning. Educational Journal of Living Theories, 6(1), 1–20.</w:t>
      </w:r>
    </w:p>
    <w:p w14:paraId="26CFD85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EAB0C2C"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Engeström</w:t>
      </w:r>
      <w:proofErr w:type="spellEnd"/>
      <w:r w:rsidRPr="001549B3">
        <w:rPr>
          <w:sz w:val="24"/>
          <w:szCs w:val="24"/>
        </w:rPr>
        <w:t>, Y. (1987). Learning by expanding: An activity-theoretical approach to developmental research. Helsinki, Finland: Orienta-</w:t>
      </w:r>
      <w:proofErr w:type="spellStart"/>
      <w:r w:rsidRPr="001549B3">
        <w:rPr>
          <w:sz w:val="24"/>
          <w:szCs w:val="24"/>
        </w:rPr>
        <w:t>Konsultit</w:t>
      </w:r>
      <w:proofErr w:type="spellEnd"/>
      <w:r w:rsidRPr="001549B3">
        <w:rPr>
          <w:sz w:val="24"/>
          <w:szCs w:val="24"/>
        </w:rPr>
        <w:t>.</w:t>
      </w:r>
    </w:p>
    <w:p w14:paraId="52FEBEE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1EEE310"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Engeström</w:t>
      </w:r>
      <w:proofErr w:type="spellEnd"/>
      <w:r w:rsidRPr="001549B3">
        <w:rPr>
          <w:sz w:val="24"/>
          <w:szCs w:val="24"/>
        </w:rPr>
        <w:t>, Y. (2001). Expansive learning at work: Toward an activity theoretical reconceptualization. Journal of Education and Work, 14(1), 133–156.</w:t>
      </w:r>
    </w:p>
    <w:p w14:paraId="14899E4E"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E8AC05E" w14:textId="77777777" w:rsidR="001549B3" w:rsidRPr="001549B3" w:rsidRDefault="001549B3" w:rsidP="001549B3">
      <w:pPr>
        <w:spacing w:after="120" w:line="360" w:lineRule="auto"/>
        <w:ind w:left="720" w:hanging="720"/>
        <w:jc w:val="both"/>
        <w:rPr>
          <w:sz w:val="24"/>
          <w:szCs w:val="24"/>
        </w:rPr>
      </w:pPr>
      <w:r w:rsidRPr="001549B3">
        <w:rPr>
          <w:sz w:val="24"/>
          <w:szCs w:val="24"/>
        </w:rPr>
        <w:t xml:space="preserve">Foot, K. A. (2014). Cultural-historical activity theory: Exploring a theory to inform practice and research. Journal of Human </w:t>
      </w:r>
      <w:proofErr w:type="spellStart"/>
      <w:r w:rsidRPr="001549B3">
        <w:rPr>
          <w:sz w:val="24"/>
          <w:szCs w:val="24"/>
        </w:rPr>
        <w:t>Behavior</w:t>
      </w:r>
      <w:proofErr w:type="spellEnd"/>
      <w:r w:rsidRPr="001549B3">
        <w:rPr>
          <w:sz w:val="24"/>
          <w:szCs w:val="24"/>
        </w:rPr>
        <w:t xml:space="preserve"> in the Social Environment, 24(3), 329–347.</w:t>
      </w:r>
    </w:p>
    <w:p w14:paraId="2C02D288"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35372F8" w14:textId="77777777" w:rsidR="001549B3" w:rsidRPr="001549B3" w:rsidRDefault="001549B3" w:rsidP="001549B3">
      <w:pPr>
        <w:spacing w:after="120" w:line="360" w:lineRule="auto"/>
        <w:ind w:left="720" w:hanging="720"/>
        <w:jc w:val="both"/>
        <w:rPr>
          <w:sz w:val="24"/>
          <w:szCs w:val="24"/>
        </w:rPr>
      </w:pPr>
      <w:r w:rsidRPr="001549B3">
        <w:rPr>
          <w:sz w:val="24"/>
          <w:szCs w:val="24"/>
        </w:rPr>
        <w:t>Higgs, P. (2012). African philosophy and the decolonisation of education in Africa. Educational Philosophy and Theory, 44(S2), 37–55.</w:t>
      </w:r>
    </w:p>
    <w:p w14:paraId="336E331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5ABC105" w14:textId="77777777" w:rsidR="001549B3" w:rsidRPr="001549B3" w:rsidRDefault="001549B3" w:rsidP="001549B3">
      <w:pPr>
        <w:spacing w:after="120" w:line="360" w:lineRule="auto"/>
        <w:ind w:left="720" w:hanging="720"/>
        <w:jc w:val="both"/>
        <w:rPr>
          <w:sz w:val="24"/>
          <w:szCs w:val="24"/>
        </w:rPr>
      </w:pPr>
      <w:r w:rsidRPr="001549B3">
        <w:rPr>
          <w:sz w:val="24"/>
          <w:szCs w:val="24"/>
        </w:rPr>
        <w:t>Hochschild, A. R. (1983). The managed heart: Commercialization of human feeling. Berkeley, CA: University of California Press.</w:t>
      </w:r>
    </w:p>
    <w:p w14:paraId="4918B35C"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3A5A264" w14:textId="77777777" w:rsidR="001549B3" w:rsidRPr="001549B3" w:rsidRDefault="001549B3" w:rsidP="001549B3">
      <w:pPr>
        <w:spacing w:after="120" w:line="360" w:lineRule="auto"/>
        <w:ind w:left="720" w:hanging="720"/>
        <w:jc w:val="both"/>
        <w:rPr>
          <w:sz w:val="24"/>
          <w:szCs w:val="24"/>
        </w:rPr>
      </w:pPr>
      <w:r w:rsidRPr="001549B3">
        <w:rPr>
          <w:sz w:val="24"/>
          <w:szCs w:val="24"/>
        </w:rPr>
        <w:t xml:space="preserve">Jansen, J. D. (2017). As by fire: The end of the South African university. Cape Town, South Africa: </w:t>
      </w:r>
      <w:proofErr w:type="spellStart"/>
      <w:r w:rsidRPr="001549B3">
        <w:rPr>
          <w:sz w:val="24"/>
          <w:szCs w:val="24"/>
        </w:rPr>
        <w:t>Tafelberg</w:t>
      </w:r>
      <w:proofErr w:type="spellEnd"/>
      <w:r w:rsidRPr="001549B3">
        <w:rPr>
          <w:sz w:val="24"/>
          <w:szCs w:val="24"/>
        </w:rPr>
        <w:t>.</w:t>
      </w:r>
    </w:p>
    <w:p w14:paraId="1453CB98"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DB643F5" w14:textId="77777777" w:rsidR="001549B3" w:rsidRPr="001549B3" w:rsidRDefault="001549B3" w:rsidP="001549B3">
      <w:pPr>
        <w:spacing w:after="120" w:line="360" w:lineRule="auto"/>
        <w:ind w:left="720" w:hanging="720"/>
        <w:jc w:val="both"/>
        <w:rPr>
          <w:sz w:val="24"/>
          <w:szCs w:val="24"/>
        </w:rPr>
      </w:pPr>
      <w:r w:rsidRPr="001549B3">
        <w:rPr>
          <w:sz w:val="24"/>
          <w:szCs w:val="24"/>
        </w:rPr>
        <w:t>Kemmis, S., McTaggart, R., &amp; Nixon, R. (2014). The action research planner: Doing critical participatory action research. Singapore: Springer.</w:t>
      </w:r>
    </w:p>
    <w:p w14:paraId="045A019F"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BFCEEBB" w14:textId="77777777" w:rsidR="001549B3" w:rsidRPr="001549B3" w:rsidRDefault="001549B3" w:rsidP="001549B3">
      <w:pPr>
        <w:spacing w:after="120" w:line="360" w:lineRule="auto"/>
        <w:ind w:left="720" w:hanging="720"/>
        <w:jc w:val="both"/>
        <w:rPr>
          <w:sz w:val="24"/>
          <w:szCs w:val="24"/>
        </w:rPr>
      </w:pPr>
      <w:r w:rsidRPr="001549B3">
        <w:rPr>
          <w:sz w:val="24"/>
          <w:szCs w:val="24"/>
        </w:rPr>
        <w:t xml:space="preserve">Kinman, G. (2014). Doing more with less? Work and wellbeing in academics. </w:t>
      </w:r>
      <w:proofErr w:type="spellStart"/>
      <w:r w:rsidRPr="001549B3">
        <w:rPr>
          <w:sz w:val="24"/>
          <w:szCs w:val="24"/>
        </w:rPr>
        <w:t>Somatechnics</w:t>
      </w:r>
      <w:proofErr w:type="spellEnd"/>
      <w:r w:rsidRPr="001549B3">
        <w:rPr>
          <w:sz w:val="24"/>
          <w:szCs w:val="24"/>
        </w:rPr>
        <w:t>, 4(2), 219–235.</w:t>
      </w:r>
    </w:p>
    <w:p w14:paraId="015F37BB"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CE9B276" w14:textId="77777777" w:rsidR="001549B3" w:rsidRPr="001549B3" w:rsidRDefault="001549B3" w:rsidP="001549B3">
      <w:pPr>
        <w:spacing w:after="120" w:line="360" w:lineRule="auto"/>
        <w:ind w:left="720" w:hanging="720"/>
        <w:jc w:val="both"/>
        <w:rPr>
          <w:sz w:val="24"/>
          <w:szCs w:val="24"/>
        </w:rPr>
      </w:pPr>
      <w:r w:rsidRPr="001549B3">
        <w:rPr>
          <w:sz w:val="24"/>
          <w:szCs w:val="24"/>
        </w:rPr>
        <w:lastRenderedPageBreak/>
        <w:t>Laidlaw, M. (1996). How can I create my own living educational theory from my practice as a teacher researcher? Doctoral dissertation, University of Bath, United Kingdom.</w:t>
      </w:r>
    </w:p>
    <w:p w14:paraId="6C70352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7B502A0" w14:textId="77777777" w:rsidR="001549B3" w:rsidRPr="001549B3" w:rsidRDefault="001549B3" w:rsidP="001549B3">
      <w:pPr>
        <w:spacing w:after="120" w:line="360" w:lineRule="auto"/>
        <w:ind w:left="720" w:hanging="720"/>
        <w:jc w:val="both"/>
        <w:rPr>
          <w:sz w:val="24"/>
          <w:szCs w:val="24"/>
        </w:rPr>
      </w:pPr>
      <w:r w:rsidRPr="001549B3">
        <w:rPr>
          <w:sz w:val="24"/>
          <w:szCs w:val="24"/>
        </w:rPr>
        <w:t>Leibowitz, B. (2017). Cognitive justice and the higher education curriculum. Journal of Education, 68, 93–112.</w:t>
      </w:r>
    </w:p>
    <w:p w14:paraId="66327097"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8164119"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Letseka</w:t>
      </w:r>
      <w:proofErr w:type="spellEnd"/>
      <w:r w:rsidRPr="001549B3">
        <w:rPr>
          <w:sz w:val="24"/>
          <w:szCs w:val="24"/>
        </w:rPr>
        <w:t>, M. (2012). In defence of Ubuntu. Studies in Philosophy and Education, 31(1), 47–60.</w:t>
      </w:r>
    </w:p>
    <w:p w14:paraId="48CC39AB"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DCD29F0" w14:textId="77777777" w:rsidR="001549B3" w:rsidRPr="001549B3" w:rsidRDefault="001549B3" w:rsidP="001549B3">
      <w:pPr>
        <w:spacing w:after="120" w:line="360" w:lineRule="auto"/>
        <w:ind w:left="720" w:hanging="720"/>
        <w:jc w:val="both"/>
        <w:rPr>
          <w:sz w:val="24"/>
          <w:szCs w:val="24"/>
        </w:rPr>
      </w:pPr>
      <w:r w:rsidRPr="001549B3">
        <w:rPr>
          <w:sz w:val="24"/>
          <w:szCs w:val="24"/>
        </w:rPr>
        <w:t>Luckett, K. (2019). Curriculum transformation and decolonisation in higher education. Critical Studies in Teaching and Learning, 7(1), 1–14.</w:t>
      </w:r>
    </w:p>
    <w:p w14:paraId="22CECDB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2B65358"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Marginson</w:t>
      </w:r>
      <w:proofErr w:type="spellEnd"/>
      <w:r w:rsidRPr="001549B3">
        <w:rPr>
          <w:sz w:val="24"/>
          <w:szCs w:val="24"/>
        </w:rPr>
        <w:t>, S. (2016). The worldwide trend to high participation higher education: Dynamics of social stratification in inclusive systems. Higher Education, 72(4), 413–434.</w:t>
      </w:r>
    </w:p>
    <w:p w14:paraId="57A858D2"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06441E2" w14:textId="77777777" w:rsidR="001549B3" w:rsidRPr="001549B3" w:rsidRDefault="001549B3" w:rsidP="001549B3">
      <w:pPr>
        <w:spacing w:after="120" w:line="360" w:lineRule="auto"/>
        <w:ind w:left="720" w:hanging="720"/>
        <w:jc w:val="both"/>
        <w:rPr>
          <w:sz w:val="24"/>
          <w:szCs w:val="24"/>
        </w:rPr>
      </w:pPr>
      <w:r w:rsidRPr="001549B3">
        <w:rPr>
          <w:sz w:val="24"/>
          <w:szCs w:val="24"/>
        </w:rPr>
        <w:t>Metz, T. (2011). Ubuntu as a moral theory and human rights in South Africa. African Human Rights Law Journal, 11(2), 532–559.</w:t>
      </w:r>
    </w:p>
    <w:p w14:paraId="514073E3"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0AA9DD0" w14:textId="77777777" w:rsidR="001549B3" w:rsidRPr="001549B3" w:rsidRDefault="001549B3" w:rsidP="001549B3">
      <w:pPr>
        <w:spacing w:after="120" w:line="360" w:lineRule="auto"/>
        <w:ind w:left="720" w:hanging="720"/>
        <w:jc w:val="both"/>
        <w:rPr>
          <w:sz w:val="24"/>
          <w:szCs w:val="24"/>
        </w:rPr>
      </w:pPr>
      <w:r w:rsidRPr="001549B3">
        <w:rPr>
          <w:sz w:val="24"/>
          <w:szCs w:val="24"/>
        </w:rPr>
        <w:t xml:space="preserve">Mingers, J., &amp; Willmott, H. (2013). </w:t>
      </w:r>
      <w:proofErr w:type="spellStart"/>
      <w:r w:rsidRPr="001549B3">
        <w:rPr>
          <w:sz w:val="24"/>
          <w:szCs w:val="24"/>
        </w:rPr>
        <w:t>Taylorizing</w:t>
      </w:r>
      <w:proofErr w:type="spellEnd"/>
      <w:r w:rsidRPr="001549B3">
        <w:rPr>
          <w:sz w:val="24"/>
          <w:szCs w:val="24"/>
        </w:rPr>
        <w:t xml:space="preserve"> business school research: On the ‘one best way’ performative effects of journal ranking lists. Human Relations, 66(8), 1051–1073.</w:t>
      </w:r>
    </w:p>
    <w:p w14:paraId="1C74FFF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40213D06" w14:textId="5F7C273C" w:rsidR="007D2B92" w:rsidRDefault="007D2B92" w:rsidP="007D2B92">
      <w:pPr>
        <w:spacing w:after="120" w:line="360" w:lineRule="auto"/>
        <w:ind w:left="720" w:hanging="720"/>
        <w:jc w:val="both"/>
        <w:rPr>
          <w:sz w:val="24"/>
          <w:szCs w:val="24"/>
        </w:rPr>
      </w:pPr>
      <w:r w:rsidRPr="00390505">
        <w:rPr>
          <w:sz w:val="24"/>
          <w:szCs w:val="24"/>
        </w:rPr>
        <w:t xml:space="preserve">Patel, A. K. (2024). Conflicting practices in higher education: A practitioner’s perspective. </w:t>
      </w:r>
      <w:r w:rsidR="00DF0EC6">
        <w:rPr>
          <w:sz w:val="24"/>
          <w:szCs w:val="24"/>
        </w:rPr>
        <w:t>(</w:t>
      </w:r>
      <w:r w:rsidRPr="00390505">
        <w:rPr>
          <w:sz w:val="24"/>
          <w:szCs w:val="24"/>
        </w:rPr>
        <w:t>Doctoral dissertation</w:t>
      </w:r>
      <w:r w:rsidR="00DF0EC6">
        <w:rPr>
          <w:sz w:val="24"/>
          <w:szCs w:val="24"/>
        </w:rPr>
        <w:t>).</w:t>
      </w:r>
      <w:r w:rsidRPr="00390505">
        <w:rPr>
          <w:sz w:val="24"/>
          <w:szCs w:val="24"/>
        </w:rPr>
        <w:t xml:space="preserve"> Durban University of Technology</w:t>
      </w:r>
      <w:r w:rsidR="00FB70AA" w:rsidRPr="001549B3">
        <w:rPr>
          <w:sz w:val="24"/>
          <w:szCs w:val="24"/>
        </w:rPr>
        <w:t>, Durban, South Africa.</w:t>
      </w:r>
    </w:p>
    <w:p w14:paraId="382211D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E13847B" w14:textId="77777777" w:rsidR="001549B3" w:rsidRPr="001549B3" w:rsidRDefault="001549B3" w:rsidP="001549B3">
      <w:pPr>
        <w:spacing w:after="120" w:line="360" w:lineRule="auto"/>
        <w:ind w:left="720" w:hanging="720"/>
        <w:jc w:val="both"/>
        <w:rPr>
          <w:sz w:val="24"/>
          <w:szCs w:val="24"/>
        </w:rPr>
      </w:pPr>
      <w:proofErr w:type="spellStart"/>
      <w:r w:rsidRPr="001549B3">
        <w:rPr>
          <w:sz w:val="24"/>
          <w:szCs w:val="24"/>
        </w:rPr>
        <w:t>Waghid</w:t>
      </w:r>
      <w:proofErr w:type="spellEnd"/>
      <w:r w:rsidRPr="001549B3">
        <w:rPr>
          <w:sz w:val="24"/>
          <w:szCs w:val="24"/>
        </w:rPr>
        <w:t>, Y. (2014). African philosophy of education reconsidered: On being human. New York, NY: Routledge.</w:t>
      </w:r>
    </w:p>
    <w:p w14:paraId="1DCE2393"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8377D6C" w14:textId="77777777" w:rsidR="001549B3" w:rsidRPr="001549B3" w:rsidRDefault="001549B3" w:rsidP="001549B3">
      <w:pPr>
        <w:spacing w:after="120" w:line="360" w:lineRule="auto"/>
        <w:ind w:left="720" w:hanging="720"/>
        <w:jc w:val="both"/>
        <w:rPr>
          <w:sz w:val="24"/>
          <w:szCs w:val="24"/>
        </w:rPr>
      </w:pPr>
      <w:r w:rsidRPr="001549B3">
        <w:rPr>
          <w:sz w:val="24"/>
          <w:szCs w:val="24"/>
        </w:rPr>
        <w:lastRenderedPageBreak/>
        <w:t xml:space="preserve">Walker, M., &amp; </w:t>
      </w:r>
      <w:proofErr w:type="spellStart"/>
      <w:r w:rsidRPr="001549B3">
        <w:rPr>
          <w:sz w:val="24"/>
          <w:szCs w:val="24"/>
        </w:rPr>
        <w:t>Bozalek</w:t>
      </w:r>
      <w:proofErr w:type="spellEnd"/>
      <w:r w:rsidRPr="001549B3">
        <w:rPr>
          <w:sz w:val="24"/>
          <w:szCs w:val="24"/>
        </w:rPr>
        <w:t>, V. (2021). Human development and capabilities in higher education. In M. Walker &amp; M. Wilson-Strydom (Eds.), Socially just pedagogies (pp. 17–33). London, UK: Bloomsbury.</w:t>
      </w:r>
    </w:p>
    <w:p w14:paraId="53D3427E"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AAAC6B2" w14:textId="77777777" w:rsidR="001549B3" w:rsidRPr="001549B3" w:rsidRDefault="001549B3" w:rsidP="001549B3">
      <w:pPr>
        <w:spacing w:after="120" w:line="360" w:lineRule="auto"/>
        <w:ind w:left="720" w:hanging="720"/>
        <w:jc w:val="both"/>
        <w:rPr>
          <w:sz w:val="24"/>
          <w:szCs w:val="24"/>
        </w:rPr>
      </w:pPr>
      <w:r w:rsidRPr="001549B3">
        <w:rPr>
          <w:sz w:val="24"/>
          <w:szCs w:val="24"/>
        </w:rPr>
        <w:t>Whitehead, J. (1989). Creating a living educational theory from questions of the kind, “How do I improve my practice?”. Cambridge Journal of Education, 19(1), 41–52. doi:10.1080/0305764890190106</w:t>
      </w:r>
    </w:p>
    <w:p w14:paraId="34957C3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5CB5D36" w14:textId="77777777" w:rsidR="001549B3" w:rsidRDefault="001549B3" w:rsidP="001549B3">
      <w:pPr>
        <w:spacing w:after="120" w:line="360" w:lineRule="auto"/>
        <w:ind w:left="720" w:hanging="720"/>
        <w:jc w:val="both"/>
        <w:rPr>
          <w:sz w:val="24"/>
          <w:szCs w:val="24"/>
        </w:rPr>
      </w:pPr>
      <w:r w:rsidRPr="001549B3">
        <w:rPr>
          <w:sz w:val="24"/>
          <w:szCs w:val="24"/>
        </w:rPr>
        <w:t>Whitehead, J. (2008). Using a living theory methodology in improving practice and generating educational knowledge in living theories. Educational Journal of Living Theories, 1(1), 103–126.</w:t>
      </w:r>
    </w:p>
    <w:p w14:paraId="4BF8C97E" w14:textId="77777777" w:rsidR="00351393" w:rsidRPr="00351393" w:rsidRDefault="00351393" w:rsidP="001549B3">
      <w:pPr>
        <w:spacing w:after="120" w:line="360" w:lineRule="auto"/>
        <w:ind w:left="720" w:hanging="720"/>
        <w:jc w:val="both"/>
        <w:rPr>
          <w:rFonts w:cstheme="minorHAnsi"/>
          <w:sz w:val="24"/>
          <w:szCs w:val="24"/>
        </w:rPr>
      </w:pPr>
    </w:p>
    <w:p w14:paraId="45C3DDE6" w14:textId="03D2B77D" w:rsidR="001549B3" w:rsidRPr="00351393" w:rsidRDefault="001549B3" w:rsidP="001549B3">
      <w:pPr>
        <w:spacing w:after="120" w:line="360" w:lineRule="auto"/>
        <w:ind w:left="720" w:hanging="720"/>
        <w:jc w:val="both"/>
        <w:rPr>
          <w:rFonts w:cstheme="minorHAnsi"/>
          <w:sz w:val="24"/>
          <w:szCs w:val="24"/>
        </w:rPr>
      </w:pPr>
      <w:r w:rsidRPr="00351393">
        <w:rPr>
          <w:rFonts w:cstheme="minorHAnsi"/>
          <w:sz w:val="24"/>
          <w:szCs w:val="24"/>
        </w:rPr>
        <w:t> </w:t>
      </w:r>
      <w:r w:rsidR="00143198" w:rsidRPr="00143198">
        <w:rPr>
          <w:rFonts w:cstheme="minorHAnsi"/>
          <w:sz w:val="24"/>
          <w:szCs w:val="24"/>
        </w:rPr>
        <w:t xml:space="preserve">Whitehead, J. (2018) </w:t>
      </w:r>
      <w:r w:rsidR="00143198" w:rsidRPr="00143198">
        <w:rPr>
          <w:rFonts w:cstheme="minorHAnsi"/>
          <w:i/>
          <w:iCs/>
          <w:sz w:val="24"/>
          <w:szCs w:val="24"/>
        </w:rPr>
        <w:t>Living Theory Research as a Way of Life</w:t>
      </w:r>
      <w:r w:rsidR="00143198" w:rsidRPr="00143198">
        <w:rPr>
          <w:rFonts w:cstheme="minorHAnsi"/>
          <w:sz w:val="24"/>
          <w:szCs w:val="24"/>
        </w:rPr>
        <w:t>. Bath: Brown Dog Books.</w:t>
      </w:r>
    </w:p>
    <w:p w14:paraId="36B05928" w14:textId="77777777" w:rsidR="00351393" w:rsidRDefault="00351393" w:rsidP="001549B3">
      <w:pPr>
        <w:spacing w:after="120" w:line="360" w:lineRule="auto"/>
        <w:ind w:left="720" w:hanging="720"/>
        <w:jc w:val="both"/>
        <w:rPr>
          <w:sz w:val="24"/>
          <w:szCs w:val="24"/>
        </w:rPr>
      </w:pPr>
    </w:p>
    <w:p w14:paraId="06248F02" w14:textId="77777777" w:rsidR="001549B3" w:rsidRPr="001549B3" w:rsidRDefault="001549B3" w:rsidP="001549B3">
      <w:pPr>
        <w:spacing w:after="120" w:line="360" w:lineRule="auto"/>
        <w:ind w:left="720" w:hanging="720"/>
        <w:jc w:val="both"/>
        <w:rPr>
          <w:sz w:val="24"/>
          <w:szCs w:val="24"/>
        </w:rPr>
      </w:pPr>
      <w:r w:rsidRPr="001549B3">
        <w:rPr>
          <w:sz w:val="24"/>
          <w:szCs w:val="24"/>
        </w:rPr>
        <w:t>Whitehead, J., &amp; Huxtable, M. (2015). Living educational theory research: How to live fully as a practitioner researcher. Bath, UK: Education Research Books.</w:t>
      </w:r>
    </w:p>
    <w:p w14:paraId="438EFA0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F1A77CB" w14:textId="77777777" w:rsidR="001549B3" w:rsidRPr="001549B3" w:rsidRDefault="001549B3" w:rsidP="001549B3">
      <w:pPr>
        <w:spacing w:after="120" w:line="360" w:lineRule="auto"/>
        <w:ind w:left="720" w:hanging="720"/>
        <w:jc w:val="both"/>
        <w:rPr>
          <w:sz w:val="24"/>
          <w:szCs w:val="24"/>
        </w:rPr>
      </w:pPr>
      <w:r w:rsidRPr="001549B3">
        <w:rPr>
          <w:sz w:val="24"/>
          <w:szCs w:val="24"/>
        </w:rPr>
        <w:t xml:space="preserve">Whitehead, J., &amp; Rayner, A. (2009). From dialectics to </w:t>
      </w:r>
      <w:proofErr w:type="spellStart"/>
      <w:r w:rsidRPr="001549B3">
        <w:rPr>
          <w:sz w:val="24"/>
          <w:szCs w:val="24"/>
        </w:rPr>
        <w:t>inclusionality</w:t>
      </w:r>
      <w:proofErr w:type="spellEnd"/>
      <w:r w:rsidRPr="001549B3">
        <w:rPr>
          <w:sz w:val="24"/>
          <w:szCs w:val="24"/>
        </w:rPr>
        <w:t>: A naturally inclusive logic for environmental and educational accountability. Bath, UK: Education Research Books.</w:t>
      </w:r>
    </w:p>
    <w:p w14:paraId="5B1F5B33" w14:textId="77777777" w:rsidR="00390505" w:rsidRDefault="00390505" w:rsidP="00C41D24">
      <w:pPr>
        <w:spacing w:after="120" w:line="360" w:lineRule="auto"/>
        <w:ind w:left="720" w:hanging="720"/>
        <w:jc w:val="both"/>
        <w:rPr>
          <w:sz w:val="24"/>
          <w:szCs w:val="24"/>
        </w:rPr>
      </w:pPr>
    </w:p>
    <w:p w14:paraId="1ED39CE7" w14:textId="1AB3AED6" w:rsidR="00384431" w:rsidRPr="007A2944" w:rsidRDefault="00384431" w:rsidP="00AA0148">
      <w:pPr>
        <w:spacing w:after="120" w:line="360" w:lineRule="auto"/>
        <w:jc w:val="both"/>
        <w:rPr>
          <w:sz w:val="24"/>
          <w:szCs w:val="24"/>
        </w:rPr>
      </w:pPr>
    </w:p>
    <w:sectPr w:rsidR="00384431" w:rsidRPr="007A2944" w:rsidSect="00F82983">
      <w:headerReference w:type="default"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84DAD" w14:textId="77777777" w:rsidR="00B46C71" w:rsidRDefault="00B46C71" w:rsidP="00113255">
      <w:pPr>
        <w:spacing w:after="0" w:line="240" w:lineRule="auto"/>
      </w:pPr>
      <w:r>
        <w:separator/>
      </w:r>
    </w:p>
  </w:endnote>
  <w:endnote w:type="continuationSeparator" w:id="0">
    <w:p w14:paraId="26C21638" w14:textId="77777777" w:rsidR="00B46C71" w:rsidRDefault="00B46C71" w:rsidP="00113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2287455"/>
      <w:docPartObj>
        <w:docPartGallery w:val="Page Numbers (Bottom of Page)"/>
        <w:docPartUnique/>
      </w:docPartObj>
    </w:sdtPr>
    <w:sdtEndPr>
      <w:rPr>
        <w:noProof/>
      </w:rPr>
    </w:sdtEndPr>
    <w:sdtContent>
      <w:p w14:paraId="3E0C76EE" w14:textId="5A4BB5BD" w:rsidR="00113255" w:rsidRDefault="00113255">
        <w:pPr>
          <w:pStyle w:val="Footer"/>
          <w:jc w:val="center"/>
        </w:pPr>
        <w:r>
          <w:fldChar w:fldCharType="begin"/>
        </w:r>
        <w:r>
          <w:instrText xml:space="preserve"> PAGE   \* MERGEFORMAT </w:instrText>
        </w:r>
        <w:r>
          <w:fldChar w:fldCharType="separate"/>
        </w:r>
        <w:r w:rsidR="00727F2C">
          <w:rPr>
            <w:noProof/>
          </w:rPr>
          <w:t>25</w:t>
        </w:r>
        <w:r>
          <w:rPr>
            <w:noProof/>
          </w:rPr>
          <w:fldChar w:fldCharType="end"/>
        </w:r>
      </w:p>
    </w:sdtContent>
  </w:sdt>
  <w:p w14:paraId="23497460" w14:textId="77777777" w:rsidR="00113255" w:rsidRDefault="00113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FD6DBF" w14:textId="77777777" w:rsidR="00B46C71" w:rsidRDefault="00B46C71" w:rsidP="00113255">
      <w:pPr>
        <w:spacing w:after="0" w:line="240" w:lineRule="auto"/>
      </w:pPr>
      <w:r>
        <w:separator/>
      </w:r>
    </w:p>
  </w:footnote>
  <w:footnote w:type="continuationSeparator" w:id="0">
    <w:p w14:paraId="6F7ABD26" w14:textId="77777777" w:rsidR="00B46C71" w:rsidRDefault="00B46C71" w:rsidP="00113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42578" w14:textId="77777777" w:rsidR="00560368" w:rsidRDefault="00560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A5ADF"/>
    <w:multiLevelType w:val="hybridMultilevel"/>
    <w:tmpl w:val="C2F23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16C0D87"/>
    <w:multiLevelType w:val="hybridMultilevel"/>
    <w:tmpl w:val="6742F0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8CF02F9"/>
    <w:multiLevelType w:val="hybridMultilevel"/>
    <w:tmpl w:val="91C849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FBB5253"/>
    <w:multiLevelType w:val="multilevel"/>
    <w:tmpl w:val="16EE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A393B"/>
    <w:multiLevelType w:val="multilevel"/>
    <w:tmpl w:val="8A066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4A3800"/>
    <w:multiLevelType w:val="multilevel"/>
    <w:tmpl w:val="3B5E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694FD6"/>
    <w:multiLevelType w:val="hybridMultilevel"/>
    <w:tmpl w:val="262027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C5677EC"/>
    <w:multiLevelType w:val="multilevel"/>
    <w:tmpl w:val="D43A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786632"/>
    <w:multiLevelType w:val="hybridMultilevel"/>
    <w:tmpl w:val="B1FEE2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2487442"/>
    <w:multiLevelType w:val="hybridMultilevel"/>
    <w:tmpl w:val="BDFA9B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23A489A"/>
    <w:multiLevelType w:val="hybridMultilevel"/>
    <w:tmpl w:val="097091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B23080F"/>
    <w:multiLevelType w:val="multilevel"/>
    <w:tmpl w:val="B94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14784B"/>
    <w:multiLevelType w:val="hybridMultilevel"/>
    <w:tmpl w:val="5CCEE7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04F4CC5"/>
    <w:multiLevelType w:val="hybridMultilevel"/>
    <w:tmpl w:val="D36435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1D550B1"/>
    <w:multiLevelType w:val="hybridMultilevel"/>
    <w:tmpl w:val="745C6F30"/>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9F1656D"/>
    <w:multiLevelType w:val="hybridMultilevel"/>
    <w:tmpl w:val="A3F8E3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00622912">
    <w:abstractNumId w:val="4"/>
  </w:num>
  <w:num w:numId="2" w16cid:durableId="445657414">
    <w:abstractNumId w:val="11"/>
  </w:num>
  <w:num w:numId="3" w16cid:durableId="597101534">
    <w:abstractNumId w:val="3"/>
  </w:num>
  <w:num w:numId="4" w16cid:durableId="1131553650">
    <w:abstractNumId w:val="5"/>
  </w:num>
  <w:num w:numId="5" w16cid:durableId="1556625307">
    <w:abstractNumId w:val="7"/>
  </w:num>
  <w:num w:numId="6" w16cid:durableId="1066028339">
    <w:abstractNumId w:val="12"/>
  </w:num>
  <w:num w:numId="7" w16cid:durableId="1276139643">
    <w:abstractNumId w:val="10"/>
  </w:num>
  <w:num w:numId="8" w16cid:durableId="710618364">
    <w:abstractNumId w:val="9"/>
  </w:num>
  <w:num w:numId="9" w16cid:durableId="1812863374">
    <w:abstractNumId w:val="0"/>
  </w:num>
  <w:num w:numId="10" w16cid:durableId="82117067">
    <w:abstractNumId w:val="14"/>
  </w:num>
  <w:num w:numId="11" w16cid:durableId="316807365">
    <w:abstractNumId w:val="15"/>
  </w:num>
  <w:num w:numId="12" w16cid:durableId="259685540">
    <w:abstractNumId w:val="13"/>
  </w:num>
  <w:num w:numId="13" w16cid:durableId="1820271611">
    <w:abstractNumId w:val="2"/>
  </w:num>
  <w:num w:numId="14" w16cid:durableId="760184374">
    <w:abstractNumId w:val="8"/>
  </w:num>
  <w:num w:numId="15" w16cid:durableId="361134866">
    <w:abstractNumId w:val="6"/>
  </w:num>
  <w:num w:numId="16" w16cid:durableId="160657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877"/>
    <w:rsid w:val="000102AF"/>
    <w:rsid w:val="00021E15"/>
    <w:rsid w:val="00025040"/>
    <w:rsid w:val="00026240"/>
    <w:rsid w:val="0003201F"/>
    <w:rsid w:val="00032768"/>
    <w:rsid w:val="0004090F"/>
    <w:rsid w:val="00040C21"/>
    <w:rsid w:val="00040FC4"/>
    <w:rsid w:val="00041C18"/>
    <w:rsid w:val="00042021"/>
    <w:rsid w:val="0004380B"/>
    <w:rsid w:val="0004398C"/>
    <w:rsid w:val="00044C17"/>
    <w:rsid w:val="00045636"/>
    <w:rsid w:val="00054865"/>
    <w:rsid w:val="00067A96"/>
    <w:rsid w:val="000719DD"/>
    <w:rsid w:val="00075700"/>
    <w:rsid w:val="0007797C"/>
    <w:rsid w:val="0008264C"/>
    <w:rsid w:val="00090370"/>
    <w:rsid w:val="00092953"/>
    <w:rsid w:val="0009420A"/>
    <w:rsid w:val="00095774"/>
    <w:rsid w:val="000A7D1E"/>
    <w:rsid w:val="000B0499"/>
    <w:rsid w:val="000B2AFC"/>
    <w:rsid w:val="000C6D8C"/>
    <w:rsid w:val="000C7EAD"/>
    <w:rsid w:val="000D1554"/>
    <w:rsid w:val="000D2883"/>
    <w:rsid w:val="000E23E2"/>
    <w:rsid w:val="000E419E"/>
    <w:rsid w:val="000E53D6"/>
    <w:rsid w:val="000E6676"/>
    <w:rsid w:val="000F5B49"/>
    <w:rsid w:val="000F5F85"/>
    <w:rsid w:val="000F7F20"/>
    <w:rsid w:val="001011AC"/>
    <w:rsid w:val="00103E2E"/>
    <w:rsid w:val="001040BA"/>
    <w:rsid w:val="00113255"/>
    <w:rsid w:val="0011488C"/>
    <w:rsid w:val="00116998"/>
    <w:rsid w:val="00121C1F"/>
    <w:rsid w:val="00121DB7"/>
    <w:rsid w:val="00123E73"/>
    <w:rsid w:val="001266E4"/>
    <w:rsid w:val="00127F02"/>
    <w:rsid w:val="00137861"/>
    <w:rsid w:val="00143198"/>
    <w:rsid w:val="0014446C"/>
    <w:rsid w:val="00146028"/>
    <w:rsid w:val="001466BD"/>
    <w:rsid w:val="001549B3"/>
    <w:rsid w:val="001576FC"/>
    <w:rsid w:val="0016236B"/>
    <w:rsid w:val="00171251"/>
    <w:rsid w:val="00173789"/>
    <w:rsid w:val="0017580B"/>
    <w:rsid w:val="00175C3C"/>
    <w:rsid w:val="00183963"/>
    <w:rsid w:val="0018674F"/>
    <w:rsid w:val="00194A34"/>
    <w:rsid w:val="00196816"/>
    <w:rsid w:val="00197907"/>
    <w:rsid w:val="001A29B2"/>
    <w:rsid w:val="001A3123"/>
    <w:rsid w:val="001A63C6"/>
    <w:rsid w:val="001D1545"/>
    <w:rsid w:val="001D3B9C"/>
    <w:rsid w:val="001D4267"/>
    <w:rsid w:val="001E2C26"/>
    <w:rsid w:val="001F083A"/>
    <w:rsid w:val="001F26E0"/>
    <w:rsid w:val="00200CE6"/>
    <w:rsid w:val="00212A6A"/>
    <w:rsid w:val="00222665"/>
    <w:rsid w:val="002322FE"/>
    <w:rsid w:val="0023456A"/>
    <w:rsid w:val="00235F84"/>
    <w:rsid w:val="002376FD"/>
    <w:rsid w:val="00237F16"/>
    <w:rsid w:val="00240A13"/>
    <w:rsid w:val="00247A11"/>
    <w:rsid w:val="00251FEB"/>
    <w:rsid w:val="00252DD2"/>
    <w:rsid w:val="00253EBB"/>
    <w:rsid w:val="00253F53"/>
    <w:rsid w:val="0025690D"/>
    <w:rsid w:val="00267928"/>
    <w:rsid w:val="00286A83"/>
    <w:rsid w:val="002A0D75"/>
    <w:rsid w:val="002A222B"/>
    <w:rsid w:val="002A2FE5"/>
    <w:rsid w:val="002B3041"/>
    <w:rsid w:val="002B36E1"/>
    <w:rsid w:val="002B7A56"/>
    <w:rsid w:val="002C34FC"/>
    <w:rsid w:val="002C35EF"/>
    <w:rsid w:val="002C5756"/>
    <w:rsid w:val="002D111F"/>
    <w:rsid w:val="002D1E57"/>
    <w:rsid w:val="002D7E90"/>
    <w:rsid w:val="002E391B"/>
    <w:rsid w:val="002E62CA"/>
    <w:rsid w:val="002E648C"/>
    <w:rsid w:val="002F42C4"/>
    <w:rsid w:val="002F51DB"/>
    <w:rsid w:val="002F5FE5"/>
    <w:rsid w:val="0030291B"/>
    <w:rsid w:val="00321ECC"/>
    <w:rsid w:val="00324522"/>
    <w:rsid w:val="0032544C"/>
    <w:rsid w:val="00331FB7"/>
    <w:rsid w:val="003347EE"/>
    <w:rsid w:val="00335032"/>
    <w:rsid w:val="00342638"/>
    <w:rsid w:val="00342704"/>
    <w:rsid w:val="0034512B"/>
    <w:rsid w:val="00347431"/>
    <w:rsid w:val="00351393"/>
    <w:rsid w:val="00365877"/>
    <w:rsid w:val="00370CE0"/>
    <w:rsid w:val="00375CEB"/>
    <w:rsid w:val="00376261"/>
    <w:rsid w:val="003772D8"/>
    <w:rsid w:val="0037780A"/>
    <w:rsid w:val="0038161A"/>
    <w:rsid w:val="00384431"/>
    <w:rsid w:val="0038533E"/>
    <w:rsid w:val="00390505"/>
    <w:rsid w:val="00395C3E"/>
    <w:rsid w:val="003A0560"/>
    <w:rsid w:val="003A1DB6"/>
    <w:rsid w:val="003A2417"/>
    <w:rsid w:val="003B0695"/>
    <w:rsid w:val="003B0B38"/>
    <w:rsid w:val="003B2510"/>
    <w:rsid w:val="003C1E47"/>
    <w:rsid w:val="003D502E"/>
    <w:rsid w:val="003E02A2"/>
    <w:rsid w:val="003E3152"/>
    <w:rsid w:val="003E437B"/>
    <w:rsid w:val="003E5A1C"/>
    <w:rsid w:val="003F0437"/>
    <w:rsid w:val="003F572D"/>
    <w:rsid w:val="003F6629"/>
    <w:rsid w:val="004028DD"/>
    <w:rsid w:val="00411773"/>
    <w:rsid w:val="00414E28"/>
    <w:rsid w:val="0042136A"/>
    <w:rsid w:val="004336DE"/>
    <w:rsid w:val="00440262"/>
    <w:rsid w:val="00444554"/>
    <w:rsid w:val="004467FA"/>
    <w:rsid w:val="00447486"/>
    <w:rsid w:val="004536C9"/>
    <w:rsid w:val="004551D6"/>
    <w:rsid w:val="00456C7E"/>
    <w:rsid w:val="004714D5"/>
    <w:rsid w:val="004717F7"/>
    <w:rsid w:val="00474B68"/>
    <w:rsid w:val="00476959"/>
    <w:rsid w:val="004775B2"/>
    <w:rsid w:val="00480F39"/>
    <w:rsid w:val="004811B0"/>
    <w:rsid w:val="004A4542"/>
    <w:rsid w:val="004B1356"/>
    <w:rsid w:val="004B16E4"/>
    <w:rsid w:val="004B3894"/>
    <w:rsid w:val="004B572E"/>
    <w:rsid w:val="004C719C"/>
    <w:rsid w:val="004D266E"/>
    <w:rsid w:val="004D5432"/>
    <w:rsid w:val="004D7700"/>
    <w:rsid w:val="004E3BAF"/>
    <w:rsid w:val="004E657F"/>
    <w:rsid w:val="004F2DB3"/>
    <w:rsid w:val="004F4EE3"/>
    <w:rsid w:val="005033C3"/>
    <w:rsid w:val="005070FC"/>
    <w:rsid w:val="00523354"/>
    <w:rsid w:val="00527793"/>
    <w:rsid w:val="0053480F"/>
    <w:rsid w:val="00536BC2"/>
    <w:rsid w:val="005453E2"/>
    <w:rsid w:val="0054542A"/>
    <w:rsid w:val="00545C83"/>
    <w:rsid w:val="00555ACD"/>
    <w:rsid w:val="00556E25"/>
    <w:rsid w:val="00560368"/>
    <w:rsid w:val="00566090"/>
    <w:rsid w:val="0056738B"/>
    <w:rsid w:val="00572A87"/>
    <w:rsid w:val="00585EB9"/>
    <w:rsid w:val="00586AD5"/>
    <w:rsid w:val="005929C6"/>
    <w:rsid w:val="00595302"/>
    <w:rsid w:val="00595652"/>
    <w:rsid w:val="005A2EB9"/>
    <w:rsid w:val="005A7474"/>
    <w:rsid w:val="005B451A"/>
    <w:rsid w:val="005B4BAD"/>
    <w:rsid w:val="005C04EC"/>
    <w:rsid w:val="005C17BA"/>
    <w:rsid w:val="005C58DE"/>
    <w:rsid w:val="005C5AD2"/>
    <w:rsid w:val="005C5AE2"/>
    <w:rsid w:val="005C7B67"/>
    <w:rsid w:val="005D79A5"/>
    <w:rsid w:val="005E1AC3"/>
    <w:rsid w:val="005E5EA8"/>
    <w:rsid w:val="005F295A"/>
    <w:rsid w:val="005F4882"/>
    <w:rsid w:val="005F7647"/>
    <w:rsid w:val="0062030B"/>
    <w:rsid w:val="00620DA2"/>
    <w:rsid w:val="00624A77"/>
    <w:rsid w:val="00625809"/>
    <w:rsid w:val="00626DE9"/>
    <w:rsid w:val="00635A27"/>
    <w:rsid w:val="00643567"/>
    <w:rsid w:val="0064397F"/>
    <w:rsid w:val="00647527"/>
    <w:rsid w:val="00650AE7"/>
    <w:rsid w:val="0065561B"/>
    <w:rsid w:val="00657697"/>
    <w:rsid w:val="00662A2D"/>
    <w:rsid w:val="00664B88"/>
    <w:rsid w:val="00665A79"/>
    <w:rsid w:val="006662AA"/>
    <w:rsid w:val="0066792A"/>
    <w:rsid w:val="00673D10"/>
    <w:rsid w:val="006774D9"/>
    <w:rsid w:val="006777B1"/>
    <w:rsid w:val="00682BF8"/>
    <w:rsid w:val="00684188"/>
    <w:rsid w:val="00684BAC"/>
    <w:rsid w:val="00685ED2"/>
    <w:rsid w:val="006932B4"/>
    <w:rsid w:val="00693D25"/>
    <w:rsid w:val="00695CE7"/>
    <w:rsid w:val="00696710"/>
    <w:rsid w:val="00697AFF"/>
    <w:rsid w:val="006A1962"/>
    <w:rsid w:val="006A7C5D"/>
    <w:rsid w:val="006B15FF"/>
    <w:rsid w:val="006B2039"/>
    <w:rsid w:val="006B372F"/>
    <w:rsid w:val="006C04CC"/>
    <w:rsid w:val="006C10C2"/>
    <w:rsid w:val="006C2386"/>
    <w:rsid w:val="006C6C71"/>
    <w:rsid w:val="006C7FC0"/>
    <w:rsid w:val="006D0045"/>
    <w:rsid w:val="006D0F8A"/>
    <w:rsid w:val="006D1D86"/>
    <w:rsid w:val="006D6E9B"/>
    <w:rsid w:val="006D7BA1"/>
    <w:rsid w:val="006E00B4"/>
    <w:rsid w:val="006E28CC"/>
    <w:rsid w:val="006E46B8"/>
    <w:rsid w:val="006E5C77"/>
    <w:rsid w:val="006E757E"/>
    <w:rsid w:val="006F009E"/>
    <w:rsid w:val="006F099F"/>
    <w:rsid w:val="006F5866"/>
    <w:rsid w:val="006F66D3"/>
    <w:rsid w:val="006F78C1"/>
    <w:rsid w:val="0070047F"/>
    <w:rsid w:val="0070126E"/>
    <w:rsid w:val="0070262C"/>
    <w:rsid w:val="007059DB"/>
    <w:rsid w:val="007064BD"/>
    <w:rsid w:val="0070725D"/>
    <w:rsid w:val="00712D32"/>
    <w:rsid w:val="00715BF7"/>
    <w:rsid w:val="00717684"/>
    <w:rsid w:val="00720317"/>
    <w:rsid w:val="007271AC"/>
    <w:rsid w:val="00727F2C"/>
    <w:rsid w:val="00730DD3"/>
    <w:rsid w:val="00734DE7"/>
    <w:rsid w:val="00737603"/>
    <w:rsid w:val="00737637"/>
    <w:rsid w:val="00744326"/>
    <w:rsid w:val="00745ABB"/>
    <w:rsid w:val="00751F1B"/>
    <w:rsid w:val="00752EF0"/>
    <w:rsid w:val="00755314"/>
    <w:rsid w:val="007558C4"/>
    <w:rsid w:val="00760F5B"/>
    <w:rsid w:val="007637AD"/>
    <w:rsid w:val="00766B57"/>
    <w:rsid w:val="00773AC7"/>
    <w:rsid w:val="00776477"/>
    <w:rsid w:val="00783797"/>
    <w:rsid w:val="00792B83"/>
    <w:rsid w:val="0079726D"/>
    <w:rsid w:val="007A2200"/>
    <w:rsid w:val="007A2944"/>
    <w:rsid w:val="007A5C35"/>
    <w:rsid w:val="007A6C2D"/>
    <w:rsid w:val="007D051D"/>
    <w:rsid w:val="007D09C5"/>
    <w:rsid w:val="007D1BF6"/>
    <w:rsid w:val="007D2B92"/>
    <w:rsid w:val="007D51C4"/>
    <w:rsid w:val="007D5E4E"/>
    <w:rsid w:val="007E58E3"/>
    <w:rsid w:val="007E63EC"/>
    <w:rsid w:val="007F753B"/>
    <w:rsid w:val="00800D81"/>
    <w:rsid w:val="008019FD"/>
    <w:rsid w:val="00807696"/>
    <w:rsid w:val="00820FAE"/>
    <w:rsid w:val="0083293B"/>
    <w:rsid w:val="00833562"/>
    <w:rsid w:val="00835B47"/>
    <w:rsid w:val="00841EB2"/>
    <w:rsid w:val="00842AE1"/>
    <w:rsid w:val="00844C67"/>
    <w:rsid w:val="008461BF"/>
    <w:rsid w:val="008469BD"/>
    <w:rsid w:val="00847BE9"/>
    <w:rsid w:val="00863EE4"/>
    <w:rsid w:val="00863FF7"/>
    <w:rsid w:val="00865E68"/>
    <w:rsid w:val="00867F17"/>
    <w:rsid w:val="008731BA"/>
    <w:rsid w:val="008769BC"/>
    <w:rsid w:val="00880ABC"/>
    <w:rsid w:val="00897F3F"/>
    <w:rsid w:val="008A2A1F"/>
    <w:rsid w:val="008A55C8"/>
    <w:rsid w:val="008B2D0D"/>
    <w:rsid w:val="008B37D0"/>
    <w:rsid w:val="008B5CA2"/>
    <w:rsid w:val="008B7C54"/>
    <w:rsid w:val="008C1EBB"/>
    <w:rsid w:val="008C20D6"/>
    <w:rsid w:val="008C44C2"/>
    <w:rsid w:val="008C639C"/>
    <w:rsid w:val="008E0A02"/>
    <w:rsid w:val="008E70CF"/>
    <w:rsid w:val="008F1FC3"/>
    <w:rsid w:val="008F2DF5"/>
    <w:rsid w:val="008F5A18"/>
    <w:rsid w:val="00904136"/>
    <w:rsid w:val="009044B2"/>
    <w:rsid w:val="00905C57"/>
    <w:rsid w:val="00907E97"/>
    <w:rsid w:val="00912C35"/>
    <w:rsid w:val="009150EB"/>
    <w:rsid w:val="00916CC8"/>
    <w:rsid w:val="0092453F"/>
    <w:rsid w:val="00931668"/>
    <w:rsid w:val="009319C0"/>
    <w:rsid w:val="00934B64"/>
    <w:rsid w:val="0093578A"/>
    <w:rsid w:val="00944F65"/>
    <w:rsid w:val="0094667E"/>
    <w:rsid w:val="0095228B"/>
    <w:rsid w:val="00957EE1"/>
    <w:rsid w:val="00961EA3"/>
    <w:rsid w:val="0096452E"/>
    <w:rsid w:val="00987399"/>
    <w:rsid w:val="00991B96"/>
    <w:rsid w:val="009A4D43"/>
    <w:rsid w:val="009A5630"/>
    <w:rsid w:val="009B16FE"/>
    <w:rsid w:val="009B32D7"/>
    <w:rsid w:val="009B7FE9"/>
    <w:rsid w:val="009C023B"/>
    <w:rsid w:val="009C2B3A"/>
    <w:rsid w:val="009C2C14"/>
    <w:rsid w:val="009C300E"/>
    <w:rsid w:val="009D3F87"/>
    <w:rsid w:val="009D5147"/>
    <w:rsid w:val="009E4213"/>
    <w:rsid w:val="00A00249"/>
    <w:rsid w:val="00A12E52"/>
    <w:rsid w:val="00A171D7"/>
    <w:rsid w:val="00A17E88"/>
    <w:rsid w:val="00A30A88"/>
    <w:rsid w:val="00A3246B"/>
    <w:rsid w:val="00A40FB9"/>
    <w:rsid w:val="00A6132D"/>
    <w:rsid w:val="00A62462"/>
    <w:rsid w:val="00A64337"/>
    <w:rsid w:val="00A7418F"/>
    <w:rsid w:val="00A77A2D"/>
    <w:rsid w:val="00A913A7"/>
    <w:rsid w:val="00A952B2"/>
    <w:rsid w:val="00A97A8F"/>
    <w:rsid w:val="00AA0148"/>
    <w:rsid w:val="00AA0599"/>
    <w:rsid w:val="00AB4D87"/>
    <w:rsid w:val="00AC66A4"/>
    <w:rsid w:val="00AC7375"/>
    <w:rsid w:val="00AD06AB"/>
    <w:rsid w:val="00AD4063"/>
    <w:rsid w:val="00AD5EF0"/>
    <w:rsid w:val="00AD5F6F"/>
    <w:rsid w:val="00AD79D1"/>
    <w:rsid w:val="00AE0AC0"/>
    <w:rsid w:val="00AE2259"/>
    <w:rsid w:val="00AE2D77"/>
    <w:rsid w:val="00AE4B9A"/>
    <w:rsid w:val="00AF4D87"/>
    <w:rsid w:val="00AF6F20"/>
    <w:rsid w:val="00B0075D"/>
    <w:rsid w:val="00B03E34"/>
    <w:rsid w:val="00B07C1B"/>
    <w:rsid w:val="00B13A9C"/>
    <w:rsid w:val="00B1543D"/>
    <w:rsid w:val="00B25574"/>
    <w:rsid w:val="00B25CCD"/>
    <w:rsid w:val="00B268D5"/>
    <w:rsid w:val="00B32784"/>
    <w:rsid w:val="00B44AC7"/>
    <w:rsid w:val="00B4636A"/>
    <w:rsid w:val="00B46C71"/>
    <w:rsid w:val="00B54F1A"/>
    <w:rsid w:val="00B6207A"/>
    <w:rsid w:val="00B6236A"/>
    <w:rsid w:val="00B72C2C"/>
    <w:rsid w:val="00B738FA"/>
    <w:rsid w:val="00B759A1"/>
    <w:rsid w:val="00B7799D"/>
    <w:rsid w:val="00B84036"/>
    <w:rsid w:val="00B87EFB"/>
    <w:rsid w:val="00B90406"/>
    <w:rsid w:val="00B9178F"/>
    <w:rsid w:val="00B91D65"/>
    <w:rsid w:val="00B91F03"/>
    <w:rsid w:val="00B92E1E"/>
    <w:rsid w:val="00BA2EA8"/>
    <w:rsid w:val="00BA4055"/>
    <w:rsid w:val="00BB46F3"/>
    <w:rsid w:val="00BB5432"/>
    <w:rsid w:val="00BB6E86"/>
    <w:rsid w:val="00BC0918"/>
    <w:rsid w:val="00BC6427"/>
    <w:rsid w:val="00BC7BD6"/>
    <w:rsid w:val="00BD0D80"/>
    <w:rsid w:val="00BD2DD0"/>
    <w:rsid w:val="00BD7585"/>
    <w:rsid w:val="00BE0C02"/>
    <w:rsid w:val="00BF1E98"/>
    <w:rsid w:val="00BF30E6"/>
    <w:rsid w:val="00BF3BA1"/>
    <w:rsid w:val="00BF621A"/>
    <w:rsid w:val="00C05607"/>
    <w:rsid w:val="00C05711"/>
    <w:rsid w:val="00C07C75"/>
    <w:rsid w:val="00C13C85"/>
    <w:rsid w:val="00C201C3"/>
    <w:rsid w:val="00C21BBF"/>
    <w:rsid w:val="00C23FDF"/>
    <w:rsid w:val="00C4127F"/>
    <w:rsid w:val="00C41D24"/>
    <w:rsid w:val="00C46D79"/>
    <w:rsid w:val="00C534F6"/>
    <w:rsid w:val="00C53B3E"/>
    <w:rsid w:val="00C53DFF"/>
    <w:rsid w:val="00C5647C"/>
    <w:rsid w:val="00C64AF2"/>
    <w:rsid w:val="00C70185"/>
    <w:rsid w:val="00C722A2"/>
    <w:rsid w:val="00C76CC3"/>
    <w:rsid w:val="00C81FDF"/>
    <w:rsid w:val="00C82545"/>
    <w:rsid w:val="00C835E2"/>
    <w:rsid w:val="00C84D81"/>
    <w:rsid w:val="00C86DF6"/>
    <w:rsid w:val="00C96794"/>
    <w:rsid w:val="00C96E2B"/>
    <w:rsid w:val="00C97BE5"/>
    <w:rsid w:val="00CA566D"/>
    <w:rsid w:val="00CB21A0"/>
    <w:rsid w:val="00CC0933"/>
    <w:rsid w:val="00CD07C1"/>
    <w:rsid w:val="00CD5DAE"/>
    <w:rsid w:val="00CD6302"/>
    <w:rsid w:val="00CE0047"/>
    <w:rsid w:val="00CE0765"/>
    <w:rsid w:val="00CE6675"/>
    <w:rsid w:val="00CF0C0B"/>
    <w:rsid w:val="00CF3B7B"/>
    <w:rsid w:val="00CF77EA"/>
    <w:rsid w:val="00D00537"/>
    <w:rsid w:val="00D00AD9"/>
    <w:rsid w:val="00D0363E"/>
    <w:rsid w:val="00D055B1"/>
    <w:rsid w:val="00D109FF"/>
    <w:rsid w:val="00D10E29"/>
    <w:rsid w:val="00D15049"/>
    <w:rsid w:val="00D20694"/>
    <w:rsid w:val="00D20D0E"/>
    <w:rsid w:val="00D249B7"/>
    <w:rsid w:val="00D25AE1"/>
    <w:rsid w:val="00D269E6"/>
    <w:rsid w:val="00D305A0"/>
    <w:rsid w:val="00D351D3"/>
    <w:rsid w:val="00D37EAF"/>
    <w:rsid w:val="00D42A50"/>
    <w:rsid w:val="00D4323D"/>
    <w:rsid w:val="00D43855"/>
    <w:rsid w:val="00D47B3B"/>
    <w:rsid w:val="00D50C71"/>
    <w:rsid w:val="00D64B9D"/>
    <w:rsid w:val="00D66A80"/>
    <w:rsid w:val="00D67560"/>
    <w:rsid w:val="00D74761"/>
    <w:rsid w:val="00D80892"/>
    <w:rsid w:val="00D821E2"/>
    <w:rsid w:val="00D85B23"/>
    <w:rsid w:val="00D87189"/>
    <w:rsid w:val="00D913FD"/>
    <w:rsid w:val="00D948DE"/>
    <w:rsid w:val="00DB2E4C"/>
    <w:rsid w:val="00DB2EC2"/>
    <w:rsid w:val="00DB76F6"/>
    <w:rsid w:val="00DC5A88"/>
    <w:rsid w:val="00DC5D61"/>
    <w:rsid w:val="00DD01EF"/>
    <w:rsid w:val="00DD0B2D"/>
    <w:rsid w:val="00DF0E7E"/>
    <w:rsid w:val="00DF0EC6"/>
    <w:rsid w:val="00DF3398"/>
    <w:rsid w:val="00DF55B8"/>
    <w:rsid w:val="00DF5770"/>
    <w:rsid w:val="00E03E7A"/>
    <w:rsid w:val="00E04DD3"/>
    <w:rsid w:val="00E05F33"/>
    <w:rsid w:val="00E13252"/>
    <w:rsid w:val="00E14E10"/>
    <w:rsid w:val="00E257D8"/>
    <w:rsid w:val="00E316EE"/>
    <w:rsid w:val="00E342A1"/>
    <w:rsid w:val="00E36016"/>
    <w:rsid w:val="00E363AA"/>
    <w:rsid w:val="00E415C0"/>
    <w:rsid w:val="00E426EE"/>
    <w:rsid w:val="00E4381C"/>
    <w:rsid w:val="00E43B58"/>
    <w:rsid w:val="00E44B92"/>
    <w:rsid w:val="00E51CB7"/>
    <w:rsid w:val="00E53CC7"/>
    <w:rsid w:val="00E56324"/>
    <w:rsid w:val="00E60893"/>
    <w:rsid w:val="00E645F1"/>
    <w:rsid w:val="00E65348"/>
    <w:rsid w:val="00E665DF"/>
    <w:rsid w:val="00E707AF"/>
    <w:rsid w:val="00E708FB"/>
    <w:rsid w:val="00E710BC"/>
    <w:rsid w:val="00E76419"/>
    <w:rsid w:val="00E80D88"/>
    <w:rsid w:val="00E81FF7"/>
    <w:rsid w:val="00E90C05"/>
    <w:rsid w:val="00E91B1F"/>
    <w:rsid w:val="00E945C9"/>
    <w:rsid w:val="00E95A6C"/>
    <w:rsid w:val="00EA017F"/>
    <w:rsid w:val="00EA16E1"/>
    <w:rsid w:val="00EB2221"/>
    <w:rsid w:val="00EB6320"/>
    <w:rsid w:val="00EE21FD"/>
    <w:rsid w:val="00EE402C"/>
    <w:rsid w:val="00EE7206"/>
    <w:rsid w:val="00F02530"/>
    <w:rsid w:val="00F061A9"/>
    <w:rsid w:val="00F07454"/>
    <w:rsid w:val="00F07603"/>
    <w:rsid w:val="00F12218"/>
    <w:rsid w:val="00F1528F"/>
    <w:rsid w:val="00F16BCA"/>
    <w:rsid w:val="00F17447"/>
    <w:rsid w:val="00F27FDC"/>
    <w:rsid w:val="00F539AE"/>
    <w:rsid w:val="00F64C34"/>
    <w:rsid w:val="00F67000"/>
    <w:rsid w:val="00F80669"/>
    <w:rsid w:val="00F80B7A"/>
    <w:rsid w:val="00F80C74"/>
    <w:rsid w:val="00F817C9"/>
    <w:rsid w:val="00F82983"/>
    <w:rsid w:val="00F833D9"/>
    <w:rsid w:val="00F83E29"/>
    <w:rsid w:val="00F84114"/>
    <w:rsid w:val="00F868CE"/>
    <w:rsid w:val="00F95B51"/>
    <w:rsid w:val="00FA2C8B"/>
    <w:rsid w:val="00FB70AA"/>
    <w:rsid w:val="00FB7B04"/>
    <w:rsid w:val="00FC055F"/>
    <w:rsid w:val="00FC2863"/>
    <w:rsid w:val="00FD2A8E"/>
    <w:rsid w:val="00FD5090"/>
    <w:rsid w:val="00FD6366"/>
    <w:rsid w:val="00FE2BB8"/>
    <w:rsid w:val="00FF57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7A4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8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658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658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58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58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58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8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8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8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8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658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658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58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58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5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877"/>
    <w:rPr>
      <w:rFonts w:eastAsiaTheme="majorEastAsia" w:cstheme="majorBidi"/>
      <w:color w:val="272727" w:themeColor="text1" w:themeTint="D8"/>
    </w:rPr>
  </w:style>
  <w:style w:type="paragraph" w:styleId="Title">
    <w:name w:val="Title"/>
    <w:basedOn w:val="Normal"/>
    <w:next w:val="Normal"/>
    <w:link w:val="TitleChar"/>
    <w:uiPriority w:val="10"/>
    <w:qFormat/>
    <w:rsid w:val="003658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8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877"/>
    <w:pPr>
      <w:spacing w:before="160"/>
      <w:jc w:val="center"/>
    </w:pPr>
    <w:rPr>
      <w:i/>
      <w:iCs/>
      <w:color w:val="404040" w:themeColor="text1" w:themeTint="BF"/>
    </w:rPr>
  </w:style>
  <w:style w:type="character" w:customStyle="1" w:styleId="QuoteChar">
    <w:name w:val="Quote Char"/>
    <w:basedOn w:val="DefaultParagraphFont"/>
    <w:link w:val="Quote"/>
    <w:uiPriority w:val="29"/>
    <w:rsid w:val="00365877"/>
    <w:rPr>
      <w:i/>
      <w:iCs/>
      <w:color w:val="404040" w:themeColor="text1" w:themeTint="BF"/>
    </w:rPr>
  </w:style>
  <w:style w:type="paragraph" w:styleId="ListParagraph">
    <w:name w:val="List Paragraph"/>
    <w:basedOn w:val="Normal"/>
    <w:uiPriority w:val="34"/>
    <w:qFormat/>
    <w:rsid w:val="00365877"/>
    <w:pPr>
      <w:ind w:left="720"/>
      <w:contextualSpacing/>
    </w:pPr>
  </w:style>
  <w:style w:type="character" w:styleId="IntenseEmphasis">
    <w:name w:val="Intense Emphasis"/>
    <w:basedOn w:val="DefaultParagraphFont"/>
    <w:uiPriority w:val="21"/>
    <w:qFormat/>
    <w:rsid w:val="00365877"/>
    <w:rPr>
      <w:i/>
      <w:iCs/>
      <w:color w:val="2F5496" w:themeColor="accent1" w:themeShade="BF"/>
    </w:rPr>
  </w:style>
  <w:style w:type="paragraph" w:styleId="IntenseQuote">
    <w:name w:val="Intense Quote"/>
    <w:basedOn w:val="Normal"/>
    <w:next w:val="Normal"/>
    <w:link w:val="IntenseQuoteChar"/>
    <w:uiPriority w:val="30"/>
    <w:qFormat/>
    <w:rsid w:val="003658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5877"/>
    <w:rPr>
      <w:i/>
      <w:iCs/>
      <w:color w:val="2F5496" w:themeColor="accent1" w:themeShade="BF"/>
    </w:rPr>
  </w:style>
  <w:style w:type="character" w:styleId="IntenseReference">
    <w:name w:val="Intense Reference"/>
    <w:basedOn w:val="DefaultParagraphFont"/>
    <w:uiPriority w:val="32"/>
    <w:qFormat/>
    <w:rsid w:val="00365877"/>
    <w:rPr>
      <w:b/>
      <w:bCs/>
      <w:smallCaps/>
      <w:color w:val="2F5496" w:themeColor="accent1" w:themeShade="BF"/>
      <w:spacing w:val="5"/>
    </w:rPr>
  </w:style>
  <w:style w:type="paragraph" w:styleId="NormalWeb">
    <w:name w:val="Normal (Web)"/>
    <w:basedOn w:val="Normal"/>
    <w:uiPriority w:val="99"/>
    <w:semiHidden/>
    <w:unhideWhenUsed/>
    <w:rsid w:val="007558C4"/>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7558C4"/>
    <w:rPr>
      <w:b/>
      <w:bCs/>
    </w:rPr>
  </w:style>
  <w:style w:type="paragraph" w:customStyle="1" w:styleId="EjoltHeading1">
    <w:name w:val="Ejolt Heading1"/>
    <w:basedOn w:val="Normal"/>
    <w:qFormat/>
    <w:rsid w:val="00D43855"/>
    <w:pPr>
      <w:spacing w:after="120" w:line="360" w:lineRule="auto"/>
    </w:pPr>
    <w:rPr>
      <w:rFonts w:ascii="Arial" w:hAnsi="Arial"/>
      <w:b/>
      <w:bCs/>
      <w:sz w:val="28"/>
      <w:szCs w:val="28"/>
    </w:rPr>
  </w:style>
  <w:style w:type="paragraph" w:customStyle="1" w:styleId="EJOLTS2Subsections">
    <w:name w:val="EJOLTS 2 Subsections"/>
    <w:basedOn w:val="Normal"/>
    <w:qFormat/>
    <w:rsid w:val="0053480F"/>
    <w:pPr>
      <w:spacing w:after="120" w:line="360" w:lineRule="auto"/>
    </w:pPr>
    <w:rPr>
      <w:rFonts w:ascii="Arial" w:hAnsi="Arial" w:cs="Arial"/>
      <w:b/>
      <w:bCs/>
      <w:sz w:val="24"/>
      <w:szCs w:val="24"/>
    </w:rPr>
  </w:style>
  <w:style w:type="paragraph" w:styleId="Header">
    <w:name w:val="header"/>
    <w:basedOn w:val="Normal"/>
    <w:link w:val="HeaderChar"/>
    <w:uiPriority w:val="99"/>
    <w:unhideWhenUsed/>
    <w:rsid w:val="001132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255"/>
  </w:style>
  <w:style w:type="paragraph" w:styleId="Footer">
    <w:name w:val="footer"/>
    <w:basedOn w:val="Normal"/>
    <w:link w:val="FooterChar"/>
    <w:uiPriority w:val="99"/>
    <w:unhideWhenUsed/>
    <w:rsid w:val="001132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255"/>
  </w:style>
  <w:style w:type="character" w:styleId="Emphasis">
    <w:name w:val="Emphasis"/>
    <w:basedOn w:val="DefaultParagraphFont"/>
    <w:uiPriority w:val="20"/>
    <w:qFormat/>
    <w:rsid w:val="00D42A50"/>
    <w:rPr>
      <w:i/>
      <w:iCs/>
    </w:rPr>
  </w:style>
  <w:style w:type="character" w:styleId="CommentReference">
    <w:name w:val="annotation reference"/>
    <w:basedOn w:val="DefaultParagraphFont"/>
    <w:uiPriority w:val="99"/>
    <w:semiHidden/>
    <w:unhideWhenUsed/>
    <w:rsid w:val="00040C21"/>
    <w:rPr>
      <w:sz w:val="16"/>
      <w:szCs w:val="16"/>
    </w:rPr>
  </w:style>
  <w:style w:type="paragraph" w:styleId="CommentText">
    <w:name w:val="annotation text"/>
    <w:basedOn w:val="Normal"/>
    <w:link w:val="CommentTextChar"/>
    <w:uiPriority w:val="99"/>
    <w:unhideWhenUsed/>
    <w:rsid w:val="00040C21"/>
    <w:pPr>
      <w:spacing w:line="240" w:lineRule="auto"/>
    </w:pPr>
    <w:rPr>
      <w:sz w:val="20"/>
      <w:szCs w:val="20"/>
    </w:rPr>
  </w:style>
  <w:style w:type="character" w:customStyle="1" w:styleId="CommentTextChar">
    <w:name w:val="Comment Text Char"/>
    <w:basedOn w:val="DefaultParagraphFont"/>
    <w:link w:val="CommentText"/>
    <w:uiPriority w:val="99"/>
    <w:rsid w:val="00040C21"/>
    <w:rPr>
      <w:sz w:val="20"/>
      <w:szCs w:val="20"/>
    </w:rPr>
  </w:style>
  <w:style w:type="paragraph" w:styleId="CommentSubject">
    <w:name w:val="annotation subject"/>
    <w:basedOn w:val="CommentText"/>
    <w:next w:val="CommentText"/>
    <w:link w:val="CommentSubjectChar"/>
    <w:uiPriority w:val="99"/>
    <w:semiHidden/>
    <w:unhideWhenUsed/>
    <w:rsid w:val="00040C21"/>
    <w:rPr>
      <w:b/>
      <w:bCs/>
    </w:rPr>
  </w:style>
  <w:style w:type="character" w:customStyle="1" w:styleId="CommentSubjectChar">
    <w:name w:val="Comment Subject Char"/>
    <w:basedOn w:val="CommentTextChar"/>
    <w:link w:val="CommentSubject"/>
    <w:uiPriority w:val="99"/>
    <w:semiHidden/>
    <w:rsid w:val="00040C21"/>
    <w:rPr>
      <w:b/>
      <w:bCs/>
      <w:sz w:val="20"/>
      <w:szCs w:val="20"/>
    </w:rPr>
  </w:style>
  <w:style w:type="paragraph" w:styleId="BalloonText">
    <w:name w:val="Balloon Text"/>
    <w:basedOn w:val="Normal"/>
    <w:link w:val="BalloonTextChar"/>
    <w:uiPriority w:val="99"/>
    <w:semiHidden/>
    <w:unhideWhenUsed/>
    <w:rsid w:val="00040C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C21"/>
    <w:rPr>
      <w:rFonts w:ascii="Segoe UI" w:hAnsi="Segoe UI" w:cs="Segoe UI"/>
      <w:sz w:val="18"/>
      <w:szCs w:val="18"/>
    </w:rPr>
  </w:style>
  <w:style w:type="character" w:styleId="Hyperlink">
    <w:name w:val="Hyperlink"/>
    <w:basedOn w:val="DefaultParagraphFont"/>
    <w:uiPriority w:val="99"/>
    <w:unhideWhenUsed/>
    <w:rsid w:val="008019FD"/>
    <w:rPr>
      <w:color w:val="0563C1" w:themeColor="hyperlink"/>
      <w:u w:val="single"/>
    </w:rPr>
  </w:style>
  <w:style w:type="character" w:styleId="UnresolvedMention">
    <w:name w:val="Unresolved Mention"/>
    <w:basedOn w:val="DefaultParagraphFont"/>
    <w:uiPriority w:val="99"/>
    <w:semiHidden/>
    <w:unhideWhenUsed/>
    <w:rsid w:val="008019FD"/>
    <w:rPr>
      <w:color w:val="605E5C"/>
      <w:shd w:val="clear" w:color="auto" w:fill="E1DFDD"/>
    </w:rPr>
  </w:style>
  <w:style w:type="table" w:styleId="TableGrid">
    <w:name w:val="Table Grid"/>
    <w:basedOn w:val="TableNormal"/>
    <w:uiPriority w:val="39"/>
    <w:rsid w:val="0064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628634">
      <w:bodyDiv w:val="1"/>
      <w:marLeft w:val="0"/>
      <w:marRight w:val="0"/>
      <w:marTop w:val="0"/>
      <w:marBottom w:val="0"/>
      <w:divBdr>
        <w:top w:val="none" w:sz="0" w:space="0" w:color="auto"/>
        <w:left w:val="none" w:sz="0" w:space="0" w:color="auto"/>
        <w:bottom w:val="none" w:sz="0" w:space="0" w:color="auto"/>
        <w:right w:val="none" w:sz="0" w:space="0" w:color="auto"/>
      </w:divBdr>
      <w:divsChild>
        <w:div w:id="312104129">
          <w:marLeft w:val="0"/>
          <w:marRight w:val="0"/>
          <w:marTop w:val="0"/>
          <w:marBottom w:val="0"/>
          <w:divBdr>
            <w:top w:val="none" w:sz="0" w:space="0" w:color="auto"/>
            <w:left w:val="none" w:sz="0" w:space="0" w:color="auto"/>
            <w:bottom w:val="none" w:sz="0" w:space="0" w:color="auto"/>
            <w:right w:val="none" w:sz="0" w:space="0" w:color="auto"/>
          </w:divBdr>
        </w:div>
      </w:divsChild>
    </w:div>
    <w:div w:id="70200105">
      <w:bodyDiv w:val="1"/>
      <w:marLeft w:val="0"/>
      <w:marRight w:val="0"/>
      <w:marTop w:val="0"/>
      <w:marBottom w:val="0"/>
      <w:divBdr>
        <w:top w:val="none" w:sz="0" w:space="0" w:color="auto"/>
        <w:left w:val="none" w:sz="0" w:space="0" w:color="auto"/>
        <w:bottom w:val="none" w:sz="0" w:space="0" w:color="auto"/>
        <w:right w:val="none" w:sz="0" w:space="0" w:color="auto"/>
      </w:divBdr>
    </w:div>
    <w:div w:id="88744223">
      <w:bodyDiv w:val="1"/>
      <w:marLeft w:val="0"/>
      <w:marRight w:val="0"/>
      <w:marTop w:val="0"/>
      <w:marBottom w:val="0"/>
      <w:divBdr>
        <w:top w:val="none" w:sz="0" w:space="0" w:color="auto"/>
        <w:left w:val="none" w:sz="0" w:space="0" w:color="auto"/>
        <w:bottom w:val="none" w:sz="0" w:space="0" w:color="auto"/>
        <w:right w:val="none" w:sz="0" w:space="0" w:color="auto"/>
      </w:divBdr>
      <w:divsChild>
        <w:div w:id="637614905">
          <w:marLeft w:val="0"/>
          <w:marRight w:val="0"/>
          <w:marTop w:val="0"/>
          <w:marBottom w:val="0"/>
          <w:divBdr>
            <w:top w:val="none" w:sz="0" w:space="0" w:color="auto"/>
            <w:left w:val="none" w:sz="0" w:space="0" w:color="auto"/>
            <w:bottom w:val="none" w:sz="0" w:space="0" w:color="auto"/>
            <w:right w:val="none" w:sz="0" w:space="0" w:color="auto"/>
          </w:divBdr>
        </w:div>
      </w:divsChild>
    </w:div>
    <w:div w:id="234122801">
      <w:bodyDiv w:val="1"/>
      <w:marLeft w:val="0"/>
      <w:marRight w:val="0"/>
      <w:marTop w:val="0"/>
      <w:marBottom w:val="0"/>
      <w:divBdr>
        <w:top w:val="none" w:sz="0" w:space="0" w:color="auto"/>
        <w:left w:val="none" w:sz="0" w:space="0" w:color="auto"/>
        <w:bottom w:val="none" w:sz="0" w:space="0" w:color="auto"/>
        <w:right w:val="none" w:sz="0" w:space="0" w:color="auto"/>
      </w:divBdr>
    </w:div>
    <w:div w:id="251667235">
      <w:bodyDiv w:val="1"/>
      <w:marLeft w:val="0"/>
      <w:marRight w:val="0"/>
      <w:marTop w:val="0"/>
      <w:marBottom w:val="0"/>
      <w:divBdr>
        <w:top w:val="none" w:sz="0" w:space="0" w:color="auto"/>
        <w:left w:val="none" w:sz="0" w:space="0" w:color="auto"/>
        <w:bottom w:val="none" w:sz="0" w:space="0" w:color="auto"/>
        <w:right w:val="none" w:sz="0" w:space="0" w:color="auto"/>
      </w:divBdr>
      <w:divsChild>
        <w:div w:id="694037134">
          <w:marLeft w:val="0"/>
          <w:marRight w:val="0"/>
          <w:marTop w:val="0"/>
          <w:marBottom w:val="0"/>
          <w:divBdr>
            <w:top w:val="none" w:sz="0" w:space="0" w:color="auto"/>
            <w:left w:val="none" w:sz="0" w:space="0" w:color="auto"/>
            <w:bottom w:val="none" w:sz="0" w:space="0" w:color="auto"/>
            <w:right w:val="none" w:sz="0" w:space="0" w:color="auto"/>
          </w:divBdr>
        </w:div>
      </w:divsChild>
    </w:div>
    <w:div w:id="253323040">
      <w:bodyDiv w:val="1"/>
      <w:marLeft w:val="0"/>
      <w:marRight w:val="0"/>
      <w:marTop w:val="0"/>
      <w:marBottom w:val="0"/>
      <w:divBdr>
        <w:top w:val="none" w:sz="0" w:space="0" w:color="auto"/>
        <w:left w:val="none" w:sz="0" w:space="0" w:color="auto"/>
        <w:bottom w:val="none" w:sz="0" w:space="0" w:color="auto"/>
        <w:right w:val="none" w:sz="0" w:space="0" w:color="auto"/>
      </w:divBdr>
      <w:divsChild>
        <w:div w:id="514803697">
          <w:marLeft w:val="0"/>
          <w:marRight w:val="0"/>
          <w:marTop w:val="0"/>
          <w:marBottom w:val="0"/>
          <w:divBdr>
            <w:top w:val="none" w:sz="0" w:space="0" w:color="auto"/>
            <w:left w:val="none" w:sz="0" w:space="0" w:color="auto"/>
            <w:bottom w:val="none" w:sz="0" w:space="0" w:color="auto"/>
            <w:right w:val="none" w:sz="0" w:space="0" w:color="auto"/>
          </w:divBdr>
        </w:div>
      </w:divsChild>
    </w:div>
    <w:div w:id="262494304">
      <w:bodyDiv w:val="1"/>
      <w:marLeft w:val="0"/>
      <w:marRight w:val="0"/>
      <w:marTop w:val="0"/>
      <w:marBottom w:val="0"/>
      <w:divBdr>
        <w:top w:val="none" w:sz="0" w:space="0" w:color="auto"/>
        <w:left w:val="none" w:sz="0" w:space="0" w:color="auto"/>
        <w:bottom w:val="none" w:sz="0" w:space="0" w:color="auto"/>
        <w:right w:val="none" w:sz="0" w:space="0" w:color="auto"/>
      </w:divBdr>
      <w:divsChild>
        <w:div w:id="634027694">
          <w:marLeft w:val="0"/>
          <w:marRight w:val="0"/>
          <w:marTop w:val="0"/>
          <w:marBottom w:val="0"/>
          <w:divBdr>
            <w:top w:val="none" w:sz="0" w:space="0" w:color="auto"/>
            <w:left w:val="none" w:sz="0" w:space="0" w:color="auto"/>
            <w:bottom w:val="none" w:sz="0" w:space="0" w:color="auto"/>
            <w:right w:val="none" w:sz="0" w:space="0" w:color="auto"/>
          </w:divBdr>
        </w:div>
      </w:divsChild>
    </w:div>
    <w:div w:id="307517464">
      <w:bodyDiv w:val="1"/>
      <w:marLeft w:val="0"/>
      <w:marRight w:val="0"/>
      <w:marTop w:val="0"/>
      <w:marBottom w:val="0"/>
      <w:divBdr>
        <w:top w:val="none" w:sz="0" w:space="0" w:color="auto"/>
        <w:left w:val="none" w:sz="0" w:space="0" w:color="auto"/>
        <w:bottom w:val="none" w:sz="0" w:space="0" w:color="auto"/>
        <w:right w:val="none" w:sz="0" w:space="0" w:color="auto"/>
      </w:divBdr>
      <w:divsChild>
        <w:div w:id="516311502">
          <w:marLeft w:val="0"/>
          <w:marRight w:val="0"/>
          <w:marTop w:val="0"/>
          <w:marBottom w:val="0"/>
          <w:divBdr>
            <w:top w:val="none" w:sz="0" w:space="0" w:color="auto"/>
            <w:left w:val="none" w:sz="0" w:space="0" w:color="auto"/>
            <w:bottom w:val="none" w:sz="0" w:space="0" w:color="auto"/>
            <w:right w:val="none" w:sz="0" w:space="0" w:color="auto"/>
          </w:divBdr>
          <w:divsChild>
            <w:div w:id="678585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383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235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648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5299752">
      <w:bodyDiv w:val="1"/>
      <w:marLeft w:val="0"/>
      <w:marRight w:val="0"/>
      <w:marTop w:val="0"/>
      <w:marBottom w:val="0"/>
      <w:divBdr>
        <w:top w:val="none" w:sz="0" w:space="0" w:color="auto"/>
        <w:left w:val="none" w:sz="0" w:space="0" w:color="auto"/>
        <w:bottom w:val="none" w:sz="0" w:space="0" w:color="auto"/>
        <w:right w:val="none" w:sz="0" w:space="0" w:color="auto"/>
      </w:divBdr>
      <w:divsChild>
        <w:div w:id="1819225835">
          <w:marLeft w:val="0"/>
          <w:marRight w:val="0"/>
          <w:marTop w:val="0"/>
          <w:marBottom w:val="0"/>
          <w:divBdr>
            <w:top w:val="none" w:sz="0" w:space="0" w:color="auto"/>
            <w:left w:val="none" w:sz="0" w:space="0" w:color="auto"/>
            <w:bottom w:val="none" w:sz="0" w:space="0" w:color="auto"/>
            <w:right w:val="none" w:sz="0" w:space="0" w:color="auto"/>
          </w:divBdr>
        </w:div>
      </w:divsChild>
    </w:div>
    <w:div w:id="333267387">
      <w:bodyDiv w:val="1"/>
      <w:marLeft w:val="0"/>
      <w:marRight w:val="0"/>
      <w:marTop w:val="0"/>
      <w:marBottom w:val="0"/>
      <w:divBdr>
        <w:top w:val="none" w:sz="0" w:space="0" w:color="auto"/>
        <w:left w:val="none" w:sz="0" w:space="0" w:color="auto"/>
        <w:bottom w:val="none" w:sz="0" w:space="0" w:color="auto"/>
        <w:right w:val="none" w:sz="0" w:space="0" w:color="auto"/>
      </w:divBdr>
      <w:divsChild>
        <w:div w:id="1961061204">
          <w:marLeft w:val="0"/>
          <w:marRight w:val="0"/>
          <w:marTop w:val="0"/>
          <w:marBottom w:val="0"/>
          <w:divBdr>
            <w:top w:val="none" w:sz="0" w:space="0" w:color="auto"/>
            <w:left w:val="none" w:sz="0" w:space="0" w:color="auto"/>
            <w:bottom w:val="none" w:sz="0" w:space="0" w:color="auto"/>
            <w:right w:val="none" w:sz="0" w:space="0" w:color="auto"/>
          </w:divBdr>
        </w:div>
      </w:divsChild>
    </w:div>
    <w:div w:id="379329619">
      <w:bodyDiv w:val="1"/>
      <w:marLeft w:val="0"/>
      <w:marRight w:val="0"/>
      <w:marTop w:val="0"/>
      <w:marBottom w:val="0"/>
      <w:divBdr>
        <w:top w:val="none" w:sz="0" w:space="0" w:color="auto"/>
        <w:left w:val="none" w:sz="0" w:space="0" w:color="auto"/>
        <w:bottom w:val="none" w:sz="0" w:space="0" w:color="auto"/>
        <w:right w:val="none" w:sz="0" w:space="0" w:color="auto"/>
      </w:divBdr>
      <w:divsChild>
        <w:div w:id="86273396">
          <w:marLeft w:val="0"/>
          <w:marRight w:val="0"/>
          <w:marTop w:val="0"/>
          <w:marBottom w:val="0"/>
          <w:divBdr>
            <w:top w:val="none" w:sz="0" w:space="0" w:color="auto"/>
            <w:left w:val="none" w:sz="0" w:space="0" w:color="auto"/>
            <w:bottom w:val="none" w:sz="0" w:space="0" w:color="auto"/>
            <w:right w:val="none" w:sz="0" w:space="0" w:color="auto"/>
          </w:divBdr>
        </w:div>
      </w:divsChild>
    </w:div>
    <w:div w:id="392775976">
      <w:bodyDiv w:val="1"/>
      <w:marLeft w:val="0"/>
      <w:marRight w:val="0"/>
      <w:marTop w:val="0"/>
      <w:marBottom w:val="0"/>
      <w:divBdr>
        <w:top w:val="none" w:sz="0" w:space="0" w:color="auto"/>
        <w:left w:val="none" w:sz="0" w:space="0" w:color="auto"/>
        <w:bottom w:val="none" w:sz="0" w:space="0" w:color="auto"/>
        <w:right w:val="none" w:sz="0" w:space="0" w:color="auto"/>
      </w:divBdr>
      <w:divsChild>
        <w:div w:id="1128550756">
          <w:marLeft w:val="0"/>
          <w:marRight w:val="0"/>
          <w:marTop w:val="0"/>
          <w:marBottom w:val="0"/>
          <w:divBdr>
            <w:top w:val="none" w:sz="0" w:space="0" w:color="auto"/>
            <w:left w:val="none" w:sz="0" w:space="0" w:color="auto"/>
            <w:bottom w:val="none" w:sz="0" w:space="0" w:color="auto"/>
            <w:right w:val="none" w:sz="0" w:space="0" w:color="auto"/>
          </w:divBdr>
        </w:div>
      </w:divsChild>
    </w:div>
    <w:div w:id="455175949">
      <w:bodyDiv w:val="1"/>
      <w:marLeft w:val="0"/>
      <w:marRight w:val="0"/>
      <w:marTop w:val="0"/>
      <w:marBottom w:val="0"/>
      <w:divBdr>
        <w:top w:val="none" w:sz="0" w:space="0" w:color="auto"/>
        <w:left w:val="none" w:sz="0" w:space="0" w:color="auto"/>
        <w:bottom w:val="none" w:sz="0" w:space="0" w:color="auto"/>
        <w:right w:val="none" w:sz="0" w:space="0" w:color="auto"/>
      </w:divBdr>
      <w:divsChild>
        <w:div w:id="1189219273">
          <w:marLeft w:val="0"/>
          <w:marRight w:val="0"/>
          <w:marTop w:val="0"/>
          <w:marBottom w:val="0"/>
          <w:divBdr>
            <w:top w:val="none" w:sz="0" w:space="0" w:color="auto"/>
            <w:left w:val="none" w:sz="0" w:space="0" w:color="auto"/>
            <w:bottom w:val="none" w:sz="0" w:space="0" w:color="auto"/>
            <w:right w:val="none" w:sz="0" w:space="0" w:color="auto"/>
          </w:divBdr>
        </w:div>
      </w:divsChild>
    </w:div>
    <w:div w:id="741293015">
      <w:bodyDiv w:val="1"/>
      <w:marLeft w:val="0"/>
      <w:marRight w:val="0"/>
      <w:marTop w:val="0"/>
      <w:marBottom w:val="0"/>
      <w:divBdr>
        <w:top w:val="none" w:sz="0" w:space="0" w:color="auto"/>
        <w:left w:val="none" w:sz="0" w:space="0" w:color="auto"/>
        <w:bottom w:val="none" w:sz="0" w:space="0" w:color="auto"/>
        <w:right w:val="none" w:sz="0" w:space="0" w:color="auto"/>
      </w:divBdr>
    </w:div>
    <w:div w:id="770509935">
      <w:bodyDiv w:val="1"/>
      <w:marLeft w:val="0"/>
      <w:marRight w:val="0"/>
      <w:marTop w:val="0"/>
      <w:marBottom w:val="0"/>
      <w:divBdr>
        <w:top w:val="none" w:sz="0" w:space="0" w:color="auto"/>
        <w:left w:val="none" w:sz="0" w:space="0" w:color="auto"/>
        <w:bottom w:val="none" w:sz="0" w:space="0" w:color="auto"/>
        <w:right w:val="none" w:sz="0" w:space="0" w:color="auto"/>
      </w:divBdr>
      <w:divsChild>
        <w:div w:id="1454401391">
          <w:marLeft w:val="0"/>
          <w:marRight w:val="0"/>
          <w:marTop w:val="0"/>
          <w:marBottom w:val="0"/>
          <w:divBdr>
            <w:top w:val="none" w:sz="0" w:space="0" w:color="auto"/>
            <w:left w:val="none" w:sz="0" w:space="0" w:color="auto"/>
            <w:bottom w:val="none" w:sz="0" w:space="0" w:color="auto"/>
            <w:right w:val="none" w:sz="0" w:space="0" w:color="auto"/>
          </w:divBdr>
        </w:div>
      </w:divsChild>
    </w:div>
    <w:div w:id="938875091">
      <w:bodyDiv w:val="1"/>
      <w:marLeft w:val="0"/>
      <w:marRight w:val="0"/>
      <w:marTop w:val="0"/>
      <w:marBottom w:val="0"/>
      <w:divBdr>
        <w:top w:val="none" w:sz="0" w:space="0" w:color="auto"/>
        <w:left w:val="none" w:sz="0" w:space="0" w:color="auto"/>
        <w:bottom w:val="none" w:sz="0" w:space="0" w:color="auto"/>
        <w:right w:val="none" w:sz="0" w:space="0" w:color="auto"/>
      </w:divBdr>
      <w:divsChild>
        <w:div w:id="1099371656">
          <w:marLeft w:val="0"/>
          <w:marRight w:val="0"/>
          <w:marTop w:val="0"/>
          <w:marBottom w:val="0"/>
          <w:divBdr>
            <w:top w:val="none" w:sz="0" w:space="0" w:color="auto"/>
            <w:left w:val="none" w:sz="0" w:space="0" w:color="auto"/>
            <w:bottom w:val="none" w:sz="0" w:space="0" w:color="auto"/>
            <w:right w:val="none" w:sz="0" w:space="0" w:color="auto"/>
          </w:divBdr>
        </w:div>
      </w:divsChild>
    </w:div>
    <w:div w:id="1047679367">
      <w:bodyDiv w:val="1"/>
      <w:marLeft w:val="0"/>
      <w:marRight w:val="0"/>
      <w:marTop w:val="0"/>
      <w:marBottom w:val="0"/>
      <w:divBdr>
        <w:top w:val="none" w:sz="0" w:space="0" w:color="auto"/>
        <w:left w:val="none" w:sz="0" w:space="0" w:color="auto"/>
        <w:bottom w:val="none" w:sz="0" w:space="0" w:color="auto"/>
        <w:right w:val="none" w:sz="0" w:space="0" w:color="auto"/>
      </w:divBdr>
      <w:divsChild>
        <w:div w:id="979192088">
          <w:marLeft w:val="0"/>
          <w:marRight w:val="0"/>
          <w:marTop w:val="0"/>
          <w:marBottom w:val="0"/>
          <w:divBdr>
            <w:top w:val="none" w:sz="0" w:space="0" w:color="auto"/>
            <w:left w:val="none" w:sz="0" w:space="0" w:color="auto"/>
            <w:bottom w:val="none" w:sz="0" w:space="0" w:color="auto"/>
            <w:right w:val="none" w:sz="0" w:space="0" w:color="auto"/>
          </w:divBdr>
        </w:div>
      </w:divsChild>
    </w:div>
    <w:div w:id="1052538059">
      <w:bodyDiv w:val="1"/>
      <w:marLeft w:val="0"/>
      <w:marRight w:val="0"/>
      <w:marTop w:val="0"/>
      <w:marBottom w:val="0"/>
      <w:divBdr>
        <w:top w:val="none" w:sz="0" w:space="0" w:color="auto"/>
        <w:left w:val="none" w:sz="0" w:space="0" w:color="auto"/>
        <w:bottom w:val="none" w:sz="0" w:space="0" w:color="auto"/>
        <w:right w:val="none" w:sz="0" w:space="0" w:color="auto"/>
      </w:divBdr>
      <w:divsChild>
        <w:div w:id="837578348">
          <w:marLeft w:val="0"/>
          <w:marRight w:val="0"/>
          <w:marTop w:val="0"/>
          <w:marBottom w:val="0"/>
          <w:divBdr>
            <w:top w:val="none" w:sz="0" w:space="0" w:color="auto"/>
            <w:left w:val="none" w:sz="0" w:space="0" w:color="auto"/>
            <w:bottom w:val="none" w:sz="0" w:space="0" w:color="auto"/>
            <w:right w:val="none" w:sz="0" w:space="0" w:color="auto"/>
          </w:divBdr>
          <w:divsChild>
            <w:div w:id="590430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67652740">
      <w:bodyDiv w:val="1"/>
      <w:marLeft w:val="0"/>
      <w:marRight w:val="0"/>
      <w:marTop w:val="0"/>
      <w:marBottom w:val="0"/>
      <w:divBdr>
        <w:top w:val="none" w:sz="0" w:space="0" w:color="auto"/>
        <w:left w:val="none" w:sz="0" w:space="0" w:color="auto"/>
        <w:bottom w:val="none" w:sz="0" w:space="0" w:color="auto"/>
        <w:right w:val="none" w:sz="0" w:space="0" w:color="auto"/>
      </w:divBdr>
      <w:divsChild>
        <w:div w:id="1545681445">
          <w:marLeft w:val="0"/>
          <w:marRight w:val="0"/>
          <w:marTop w:val="0"/>
          <w:marBottom w:val="0"/>
          <w:divBdr>
            <w:top w:val="none" w:sz="0" w:space="0" w:color="auto"/>
            <w:left w:val="none" w:sz="0" w:space="0" w:color="auto"/>
            <w:bottom w:val="none" w:sz="0" w:space="0" w:color="auto"/>
            <w:right w:val="none" w:sz="0" w:space="0" w:color="auto"/>
          </w:divBdr>
          <w:divsChild>
            <w:div w:id="1350450022">
              <w:marLeft w:val="0"/>
              <w:marRight w:val="0"/>
              <w:marTop w:val="0"/>
              <w:marBottom w:val="0"/>
              <w:divBdr>
                <w:top w:val="none" w:sz="0" w:space="0" w:color="auto"/>
                <w:left w:val="none" w:sz="0" w:space="0" w:color="auto"/>
                <w:bottom w:val="none" w:sz="0" w:space="0" w:color="auto"/>
                <w:right w:val="none" w:sz="0" w:space="0" w:color="auto"/>
              </w:divBdr>
            </w:div>
            <w:div w:id="1581599408">
              <w:marLeft w:val="0"/>
              <w:marRight w:val="0"/>
              <w:marTop w:val="0"/>
              <w:marBottom w:val="0"/>
              <w:divBdr>
                <w:top w:val="none" w:sz="0" w:space="0" w:color="auto"/>
                <w:left w:val="none" w:sz="0" w:space="0" w:color="auto"/>
                <w:bottom w:val="none" w:sz="0" w:space="0" w:color="auto"/>
                <w:right w:val="none" w:sz="0" w:space="0" w:color="auto"/>
              </w:divBdr>
            </w:div>
            <w:div w:id="1764720152">
              <w:marLeft w:val="0"/>
              <w:marRight w:val="0"/>
              <w:marTop w:val="0"/>
              <w:marBottom w:val="0"/>
              <w:divBdr>
                <w:top w:val="none" w:sz="0" w:space="0" w:color="auto"/>
                <w:left w:val="none" w:sz="0" w:space="0" w:color="auto"/>
                <w:bottom w:val="none" w:sz="0" w:space="0" w:color="auto"/>
                <w:right w:val="none" w:sz="0" w:space="0" w:color="auto"/>
              </w:divBdr>
            </w:div>
            <w:div w:id="144711678">
              <w:marLeft w:val="0"/>
              <w:marRight w:val="0"/>
              <w:marTop w:val="0"/>
              <w:marBottom w:val="0"/>
              <w:divBdr>
                <w:top w:val="none" w:sz="0" w:space="0" w:color="auto"/>
                <w:left w:val="none" w:sz="0" w:space="0" w:color="auto"/>
                <w:bottom w:val="none" w:sz="0" w:space="0" w:color="auto"/>
                <w:right w:val="none" w:sz="0" w:space="0" w:color="auto"/>
              </w:divBdr>
            </w:div>
            <w:div w:id="1504201957">
              <w:marLeft w:val="0"/>
              <w:marRight w:val="0"/>
              <w:marTop w:val="0"/>
              <w:marBottom w:val="0"/>
              <w:divBdr>
                <w:top w:val="none" w:sz="0" w:space="0" w:color="auto"/>
                <w:left w:val="none" w:sz="0" w:space="0" w:color="auto"/>
                <w:bottom w:val="none" w:sz="0" w:space="0" w:color="auto"/>
                <w:right w:val="none" w:sz="0" w:space="0" w:color="auto"/>
              </w:divBdr>
            </w:div>
            <w:div w:id="27537693">
              <w:marLeft w:val="0"/>
              <w:marRight w:val="0"/>
              <w:marTop w:val="0"/>
              <w:marBottom w:val="0"/>
              <w:divBdr>
                <w:top w:val="none" w:sz="0" w:space="0" w:color="auto"/>
                <w:left w:val="none" w:sz="0" w:space="0" w:color="auto"/>
                <w:bottom w:val="none" w:sz="0" w:space="0" w:color="auto"/>
                <w:right w:val="none" w:sz="0" w:space="0" w:color="auto"/>
              </w:divBdr>
            </w:div>
            <w:div w:id="912013572">
              <w:marLeft w:val="0"/>
              <w:marRight w:val="0"/>
              <w:marTop w:val="0"/>
              <w:marBottom w:val="0"/>
              <w:divBdr>
                <w:top w:val="none" w:sz="0" w:space="0" w:color="auto"/>
                <w:left w:val="none" w:sz="0" w:space="0" w:color="auto"/>
                <w:bottom w:val="none" w:sz="0" w:space="0" w:color="auto"/>
                <w:right w:val="none" w:sz="0" w:space="0" w:color="auto"/>
              </w:divBdr>
            </w:div>
            <w:div w:id="1438333756">
              <w:marLeft w:val="0"/>
              <w:marRight w:val="0"/>
              <w:marTop w:val="0"/>
              <w:marBottom w:val="0"/>
              <w:divBdr>
                <w:top w:val="none" w:sz="0" w:space="0" w:color="auto"/>
                <w:left w:val="none" w:sz="0" w:space="0" w:color="auto"/>
                <w:bottom w:val="none" w:sz="0" w:space="0" w:color="auto"/>
                <w:right w:val="none" w:sz="0" w:space="0" w:color="auto"/>
              </w:divBdr>
            </w:div>
            <w:div w:id="67580546">
              <w:marLeft w:val="0"/>
              <w:marRight w:val="0"/>
              <w:marTop w:val="0"/>
              <w:marBottom w:val="0"/>
              <w:divBdr>
                <w:top w:val="none" w:sz="0" w:space="0" w:color="auto"/>
                <w:left w:val="none" w:sz="0" w:space="0" w:color="auto"/>
                <w:bottom w:val="none" w:sz="0" w:space="0" w:color="auto"/>
                <w:right w:val="none" w:sz="0" w:space="0" w:color="auto"/>
              </w:divBdr>
            </w:div>
            <w:div w:id="1226572597">
              <w:marLeft w:val="0"/>
              <w:marRight w:val="0"/>
              <w:marTop w:val="0"/>
              <w:marBottom w:val="0"/>
              <w:divBdr>
                <w:top w:val="none" w:sz="0" w:space="0" w:color="auto"/>
                <w:left w:val="none" w:sz="0" w:space="0" w:color="auto"/>
                <w:bottom w:val="none" w:sz="0" w:space="0" w:color="auto"/>
                <w:right w:val="none" w:sz="0" w:space="0" w:color="auto"/>
              </w:divBdr>
            </w:div>
            <w:div w:id="147402375">
              <w:marLeft w:val="0"/>
              <w:marRight w:val="0"/>
              <w:marTop w:val="0"/>
              <w:marBottom w:val="0"/>
              <w:divBdr>
                <w:top w:val="none" w:sz="0" w:space="0" w:color="auto"/>
                <w:left w:val="none" w:sz="0" w:space="0" w:color="auto"/>
                <w:bottom w:val="none" w:sz="0" w:space="0" w:color="auto"/>
                <w:right w:val="none" w:sz="0" w:space="0" w:color="auto"/>
              </w:divBdr>
            </w:div>
            <w:div w:id="176894242">
              <w:marLeft w:val="0"/>
              <w:marRight w:val="0"/>
              <w:marTop w:val="0"/>
              <w:marBottom w:val="0"/>
              <w:divBdr>
                <w:top w:val="none" w:sz="0" w:space="0" w:color="auto"/>
                <w:left w:val="none" w:sz="0" w:space="0" w:color="auto"/>
                <w:bottom w:val="none" w:sz="0" w:space="0" w:color="auto"/>
                <w:right w:val="none" w:sz="0" w:space="0" w:color="auto"/>
              </w:divBdr>
            </w:div>
            <w:div w:id="1866283639">
              <w:marLeft w:val="0"/>
              <w:marRight w:val="0"/>
              <w:marTop w:val="0"/>
              <w:marBottom w:val="0"/>
              <w:divBdr>
                <w:top w:val="none" w:sz="0" w:space="0" w:color="auto"/>
                <w:left w:val="none" w:sz="0" w:space="0" w:color="auto"/>
                <w:bottom w:val="none" w:sz="0" w:space="0" w:color="auto"/>
                <w:right w:val="none" w:sz="0" w:space="0" w:color="auto"/>
              </w:divBdr>
            </w:div>
            <w:div w:id="207307763">
              <w:marLeft w:val="0"/>
              <w:marRight w:val="0"/>
              <w:marTop w:val="0"/>
              <w:marBottom w:val="0"/>
              <w:divBdr>
                <w:top w:val="none" w:sz="0" w:space="0" w:color="auto"/>
                <w:left w:val="none" w:sz="0" w:space="0" w:color="auto"/>
                <w:bottom w:val="none" w:sz="0" w:space="0" w:color="auto"/>
                <w:right w:val="none" w:sz="0" w:space="0" w:color="auto"/>
              </w:divBdr>
            </w:div>
            <w:div w:id="1798988298">
              <w:marLeft w:val="0"/>
              <w:marRight w:val="0"/>
              <w:marTop w:val="0"/>
              <w:marBottom w:val="0"/>
              <w:divBdr>
                <w:top w:val="none" w:sz="0" w:space="0" w:color="auto"/>
                <w:left w:val="none" w:sz="0" w:space="0" w:color="auto"/>
                <w:bottom w:val="none" w:sz="0" w:space="0" w:color="auto"/>
                <w:right w:val="none" w:sz="0" w:space="0" w:color="auto"/>
              </w:divBdr>
            </w:div>
            <w:div w:id="849031611">
              <w:marLeft w:val="0"/>
              <w:marRight w:val="0"/>
              <w:marTop w:val="0"/>
              <w:marBottom w:val="0"/>
              <w:divBdr>
                <w:top w:val="none" w:sz="0" w:space="0" w:color="auto"/>
                <w:left w:val="none" w:sz="0" w:space="0" w:color="auto"/>
                <w:bottom w:val="none" w:sz="0" w:space="0" w:color="auto"/>
                <w:right w:val="none" w:sz="0" w:space="0" w:color="auto"/>
              </w:divBdr>
            </w:div>
            <w:div w:id="1894189920">
              <w:marLeft w:val="0"/>
              <w:marRight w:val="0"/>
              <w:marTop w:val="0"/>
              <w:marBottom w:val="0"/>
              <w:divBdr>
                <w:top w:val="none" w:sz="0" w:space="0" w:color="auto"/>
                <w:left w:val="none" w:sz="0" w:space="0" w:color="auto"/>
                <w:bottom w:val="none" w:sz="0" w:space="0" w:color="auto"/>
                <w:right w:val="none" w:sz="0" w:space="0" w:color="auto"/>
              </w:divBdr>
            </w:div>
            <w:div w:id="2093509029">
              <w:marLeft w:val="0"/>
              <w:marRight w:val="0"/>
              <w:marTop w:val="0"/>
              <w:marBottom w:val="0"/>
              <w:divBdr>
                <w:top w:val="none" w:sz="0" w:space="0" w:color="auto"/>
                <w:left w:val="none" w:sz="0" w:space="0" w:color="auto"/>
                <w:bottom w:val="none" w:sz="0" w:space="0" w:color="auto"/>
                <w:right w:val="none" w:sz="0" w:space="0" w:color="auto"/>
              </w:divBdr>
            </w:div>
            <w:div w:id="2141992978">
              <w:marLeft w:val="0"/>
              <w:marRight w:val="0"/>
              <w:marTop w:val="0"/>
              <w:marBottom w:val="0"/>
              <w:divBdr>
                <w:top w:val="none" w:sz="0" w:space="0" w:color="auto"/>
                <w:left w:val="none" w:sz="0" w:space="0" w:color="auto"/>
                <w:bottom w:val="none" w:sz="0" w:space="0" w:color="auto"/>
                <w:right w:val="none" w:sz="0" w:space="0" w:color="auto"/>
              </w:divBdr>
            </w:div>
            <w:div w:id="757412603">
              <w:marLeft w:val="0"/>
              <w:marRight w:val="0"/>
              <w:marTop w:val="0"/>
              <w:marBottom w:val="0"/>
              <w:divBdr>
                <w:top w:val="none" w:sz="0" w:space="0" w:color="auto"/>
                <w:left w:val="none" w:sz="0" w:space="0" w:color="auto"/>
                <w:bottom w:val="none" w:sz="0" w:space="0" w:color="auto"/>
                <w:right w:val="none" w:sz="0" w:space="0" w:color="auto"/>
              </w:divBdr>
            </w:div>
            <w:div w:id="1790513215">
              <w:marLeft w:val="0"/>
              <w:marRight w:val="0"/>
              <w:marTop w:val="0"/>
              <w:marBottom w:val="0"/>
              <w:divBdr>
                <w:top w:val="none" w:sz="0" w:space="0" w:color="auto"/>
                <w:left w:val="none" w:sz="0" w:space="0" w:color="auto"/>
                <w:bottom w:val="none" w:sz="0" w:space="0" w:color="auto"/>
                <w:right w:val="none" w:sz="0" w:space="0" w:color="auto"/>
              </w:divBdr>
            </w:div>
            <w:div w:id="1005788085">
              <w:marLeft w:val="0"/>
              <w:marRight w:val="0"/>
              <w:marTop w:val="0"/>
              <w:marBottom w:val="0"/>
              <w:divBdr>
                <w:top w:val="none" w:sz="0" w:space="0" w:color="auto"/>
                <w:left w:val="none" w:sz="0" w:space="0" w:color="auto"/>
                <w:bottom w:val="none" w:sz="0" w:space="0" w:color="auto"/>
                <w:right w:val="none" w:sz="0" w:space="0" w:color="auto"/>
              </w:divBdr>
            </w:div>
            <w:div w:id="2000964685">
              <w:marLeft w:val="0"/>
              <w:marRight w:val="0"/>
              <w:marTop w:val="0"/>
              <w:marBottom w:val="0"/>
              <w:divBdr>
                <w:top w:val="none" w:sz="0" w:space="0" w:color="auto"/>
                <w:left w:val="none" w:sz="0" w:space="0" w:color="auto"/>
                <w:bottom w:val="none" w:sz="0" w:space="0" w:color="auto"/>
                <w:right w:val="none" w:sz="0" w:space="0" w:color="auto"/>
              </w:divBdr>
            </w:div>
            <w:div w:id="1288856219">
              <w:marLeft w:val="0"/>
              <w:marRight w:val="0"/>
              <w:marTop w:val="0"/>
              <w:marBottom w:val="0"/>
              <w:divBdr>
                <w:top w:val="none" w:sz="0" w:space="0" w:color="auto"/>
                <w:left w:val="none" w:sz="0" w:space="0" w:color="auto"/>
                <w:bottom w:val="none" w:sz="0" w:space="0" w:color="auto"/>
                <w:right w:val="none" w:sz="0" w:space="0" w:color="auto"/>
              </w:divBdr>
            </w:div>
            <w:div w:id="1739865491">
              <w:marLeft w:val="0"/>
              <w:marRight w:val="0"/>
              <w:marTop w:val="0"/>
              <w:marBottom w:val="0"/>
              <w:divBdr>
                <w:top w:val="none" w:sz="0" w:space="0" w:color="auto"/>
                <w:left w:val="none" w:sz="0" w:space="0" w:color="auto"/>
                <w:bottom w:val="none" w:sz="0" w:space="0" w:color="auto"/>
                <w:right w:val="none" w:sz="0" w:space="0" w:color="auto"/>
              </w:divBdr>
            </w:div>
            <w:div w:id="955871014">
              <w:marLeft w:val="0"/>
              <w:marRight w:val="0"/>
              <w:marTop w:val="0"/>
              <w:marBottom w:val="0"/>
              <w:divBdr>
                <w:top w:val="none" w:sz="0" w:space="0" w:color="auto"/>
                <w:left w:val="none" w:sz="0" w:space="0" w:color="auto"/>
                <w:bottom w:val="none" w:sz="0" w:space="0" w:color="auto"/>
                <w:right w:val="none" w:sz="0" w:space="0" w:color="auto"/>
              </w:divBdr>
            </w:div>
            <w:div w:id="1070621286">
              <w:marLeft w:val="0"/>
              <w:marRight w:val="0"/>
              <w:marTop w:val="0"/>
              <w:marBottom w:val="0"/>
              <w:divBdr>
                <w:top w:val="none" w:sz="0" w:space="0" w:color="auto"/>
                <w:left w:val="none" w:sz="0" w:space="0" w:color="auto"/>
                <w:bottom w:val="none" w:sz="0" w:space="0" w:color="auto"/>
                <w:right w:val="none" w:sz="0" w:space="0" w:color="auto"/>
              </w:divBdr>
            </w:div>
            <w:div w:id="2077436114">
              <w:marLeft w:val="0"/>
              <w:marRight w:val="0"/>
              <w:marTop w:val="0"/>
              <w:marBottom w:val="0"/>
              <w:divBdr>
                <w:top w:val="none" w:sz="0" w:space="0" w:color="auto"/>
                <w:left w:val="none" w:sz="0" w:space="0" w:color="auto"/>
                <w:bottom w:val="none" w:sz="0" w:space="0" w:color="auto"/>
                <w:right w:val="none" w:sz="0" w:space="0" w:color="auto"/>
              </w:divBdr>
            </w:div>
            <w:div w:id="513032510">
              <w:marLeft w:val="0"/>
              <w:marRight w:val="0"/>
              <w:marTop w:val="0"/>
              <w:marBottom w:val="0"/>
              <w:divBdr>
                <w:top w:val="none" w:sz="0" w:space="0" w:color="auto"/>
                <w:left w:val="none" w:sz="0" w:space="0" w:color="auto"/>
                <w:bottom w:val="none" w:sz="0" w:space="0" w:color="auto"/>
                <w:right w:val="none" w:sz="0" w:space="0" w:color="auto"/>
              </w:divBdr>
            </w:div>
            <w:div w:id="552418">
              <w:marLeft w:val="0"/>
              <w:marRight w:val="0"/>
              <w:marTop w:val="0"/>
              <w:marBottom w:val="0"/>
              <w:divBdr>
                <w:top w:val="none" w:sz="0" w:space="0" w:color="auto"/>
                <w:left w:val="none" w:sz="0" w:space="0" w:color="auto"/>
                <w:bottom w:val="none" w:sz="0" w:space="0" w:color="auto"/>
                <w:right w:val="none" w:sz="0" w:space="0" w:color="auto"/>
              </w:divBdr>
            </w:div>
            <w:div w:id="658114953">
              <w:marLeft w:val="0"/>
              <w:marRight w:val="0"/>
              <w:marTop w:val="0"/>
              <w:marBottom w:val="0"/>
              <w:divBdr>
                <w:top w:val="none" w:sz="0" w:space="0" w:color="auto"/>
                <w:left w:val="none" w:sz="0" w:space="0" w:color="auto"/>
                <w:bottom w:val="none" w:sz="0" w:space="0" w:color="auto"/>
                <w:right w:val="none" w:sz="0" w:space="0" w:color="auto"/>
              </w:divBdr>
            </w:div>
            <w:div w:id="1480032241">
              <w:marLeft w:val="0"/>
              <w:marRight w:val="0"/>
              <w:marTop w:val="0"/>
              <w:marBottom w:val="0"/>
              <w:divBdr>
                <w:top w:val="none" w:sz="0" w:space="0" w:color="auto"/>
                <w:left w:val="none" w:sz="0" w:space="0" w:color="auto"/>
                <w:bottom w:val="none" w:sz="0" w:space="0" w:color="auto"/>
                <w:right w:val="none" w:sz="0" w:space="0" w:color="auto"/>
              </w:divBdr>
            </w:div>
            <w:div w:id="2005627541">
              <w:marLeft w:val="0"/>
              <w:marRight w:val="0"/>
              <w:marTop w:val="0"/>
              <w:marBottom w:val="0"/>
              <w:divBdr>
                <w:top w:val="none" w:sz="0" w:space="0" w:color="auto"/>
                <w:left w:val="none" w:sz="0" w:space="0" w:color="auto"/>
                <w:bottom w:val="none" w:sz="0" w:space="0" w:color="auto"/>
                <w:right w:val="none" w:sz="0" w:space="0" w:color="auto"/>
              </w:divBdr>
            </w:div>
            <w:div w:id="1465926575">
              <w:marLeft w:val="0"/>
              <w:marRight w:val="0"/>
              <w:marTop w:val="0"/>
              <w:marBottom w:val="0"/>
              <w:divBdr>
                <w:top w:val="none" w:sz="0" w:space="0" w:color="auto"/>
                <w:left w:val="none" w:sz="0" w:space="0" w:color="auto"/>
                <w:bottom w:val="none" w:sz="0" w:space="0" w:color="auto"/>
                <w:right w:val="none" w:sz="0" w:space="0" w:color="auto"/>
              </w:divBdr>
            </w:div>
            <w:div w:id="795760620">
              <w:marLeft w:val="0"/>
              <w:marRight w:val="0"/>
              <w:marTop w:val="0"/>
              <w:marBottom w:val="0"/>
              <w:divBdr>
                <w:top w:val="none" w:sz="0" w:space="0" w:color="auto"/>
                <w:left w:val="none" w:sz="0" w:space="0" w:color="auto"/>
                <w:bottom w:val="none" w:sz="0" w:space="0" w:color="auto"/>
                <w:right w:val="none" w:sz="0" w:space="0" w:color="auto"/>
              </w:divBdr>
            </w:div>
            <w:div w:id="687685194">
              <w:marLeft w:val="0"/>
              <w:marRight w:val="0"/>
              <w:marTop w:val="0"/>
              <w:marBottom w:val="0"/>
              <w:divBdr>
                <w:top w:val="none" w:sz="0" w:space="0" w:color="auto"/>
                <w:left w:val="none" w:sz="0" w:space="0" w:color="auto"/>
                <w:bottom w:val="none" w:sz="0" w:space="0" w:color="auto"/>
                <w:right w:val="none" w:sz="0" w:space="0" w:color="auto"/>
              </w:divBdr>
            </w:div>
            <w:div w:id="659114364">
              <w:marLeft w:val="0"/>
              <w:marRight w:val="0"/>
              <w:marTop w:val="0"/>
              <w:marBottom w:val="0"/>
              <w:divBdr>
                <w:top w:val="none" w:sz="0" w:space="0" w:color="auto"/>
                <w:left w:val="none" w:sz="0" w:space="0" w:color="auto"/>
                <w:bottom w:val="none" w:sz="0" w:space="0" w:color="auto"/>
                <w:right w:val="none" w:sz="0" w:space="0" w:color="auto"/>
              </w:divBdr>
            </w:div>
            <w:div w:id="619844206">
              <w:marLeft w:val="0"/>
              <w:marRight w:val="0"/>
              <w:marTop w:val="0"/>
              <w:marBottom w:val="0"/>
              <w:divBdr>
                <w:top w:val="none" w:sz="0" w:space="0" w:color="auto"/>
                <w:left w:val="none" w:sz="0" w:space="0" w:color="auto"/>
                <w:bottom w:val="none" w:sz="0" w:space="0" w:color="auto"/>
                <w:right w:val="none" w:sz="0" w:space="0" w:color="auto"/>
              </w:divBdr>
            </w:div>
            <w:div w:id="272521978">
              <w:marLeft w:val="0"/>
              <w:marRight w:val="0"/>
              <w:marTop w:val="0"/>
              <w:marBottom w:val="0"/>
              <w:divBdr>
                <w:top w:val="none" w:sz="0" w:space="0" w:color="auto"/>
                <w:left w:val="none" w:sz="0" w:space="0" w:color="auto"/>
                <w:bottom w:val="none" w:sz="0" w:space="0" w:color="auto"/>
                <w:right w:val="none" w:sz="0" w:space="0" w:color="auto"/>
              </w:divBdr>
            </w:div>
            <w:div w:id="979726759">
              <w:marLeft w:val="0"/>
              <w:marRight w:val="0"/>
              <w:marTop w:val="0"/>
              <w:marBottom w:val="0"/>
              <w:divBdr>
                <w:top w:val="none" w:sz="0" w:space="0" w:color="auto"/>
                <w:left w:val="none" w:sz="0" w:space="0" w:color="auto"/>
                <w:bottom w:val="none" w:sz="0" w:space="0" w:color="auto"/>
                <w:right w:val="none" w:sz="0" w:space="0" w:color="auto"/>
              </w:divBdr>
            </w:div>
            <w:div w:id="929775555">
              <w:marLeft w:val="0"/>
              <w:marRight w:val="0"/>
              <w:marTop w:val="0"/>
              <w:marBottom w:val="0"/>
              <w:divBdr>
                <w:top w:val="none" w:sz="0" w:space="0" w:color="auto"/>
                <w:left w:val="none" w:sz="0" w:space="0" w:color="auto"/>
                <w:bottom w:val="none" w:sz="0" w:space="0" w:color="auto"/>
                <w:right w:val="none" w:sz="0" w:space="0" w:color="auto"/>
              </w:divBdr>
            </w:div>
            <w:div w:id="901211205">
              <w:marLeft w:val="0"/>
              <w:marRight w:val="0"/>
              <w:marTop w:val="0"/>
              <w:marBottom w:val="0"/>
              <w:divBdr>
                <w:top w:val="none" w:sz="0" w:space="0" w:color="auto"/>
                <w:left w:val="none" w:sz="0" w:space="0" w:color="auto"/>
                <w:bottom w:val="none" w:sz="0" w:space="0" w:color="auto"/>
                <w:right w:val="none" w:sz="0" w:space="0" w:color="auto"/>
              </w:divBdr>
            </w:div>
            <w:div w:id="1185637490">
              <w:marLeft w:val="0"/>
              <w:marRight w:val="0"/>
              <w:marTop w:val="0"/>
              <w:marBottom w:val="0"/>
              <w:divBdr>
                <w:top w:val="none" w:sz="0" w:space="0" w:color="auto"/>
                <w:left w:val="none" w:sz="0" w:space="0" w:color="auto"/>
                <w:bottom w:val="none" w:sz="0" w:space="0" w:color="auto"/>
                <w:right w:val="none" w:sz="0" w:space="0" w:color="auto"/>
              </w:divBdr>
            </w:div>
            <w:div w:id="368186871">
              <w:marLeft w:val="0"/>
              <w:marRight w:val="0"/>
              <w:marTop w:val="0"/>
              <w:marBottom w:val="0"/>
              <w:divBdr>
                <w:top w:val="none" w:sz="0" w:space="0" w:color="auto"/>
                <w:left w:val="none" w:sz="0" w:space="0" w:color="auto"/>
                <w:bottom w:val="none" w:sz="0" w:space="0" w:color="auto"/>
                <w:right w:val="none" w:sz="0" w:space="0" w:color="auto"/>
              </w:divBdr>
            </w:div>
            <w:div w:id="696196522">
              <w:marLeft w:val="0"/>
              <w:marRight w:val="0"/>
              <w:marTop w:val="0"/>
              <w:marBottom w:val="0"/>
              <w:divBdr>
                <w:top w:val="none" w:sz="0" w:space="0" w:color="auto"/>
                <w:left w:val="none" w:sz="0" w:space="0" w:color="auto"/>
                <w:bottom w:val="none" w:sz="0" w:space="0" w:color="auto"/>
                <w:right w:val="none" w:sz="0" w:space="0" w:color="auto"/>
              </w:divBdr>
            </w:div>
            <w:div w:id="387386024">
              <w:marLeft w:val="0"/>
              <w:marRight w:val="0"/>
              <w:marTop w:val="0"/>
              <w:marBottom w:val="0"/>
              <w:divBdr>
                <w:top w:val="none" w:sz="0" w:space="0" w:color="auto"/>
                <w:left w:val="none" w:sz="0" w:space="0" w:color="auto"/>
                <w:bottom w:val="none" w:sz="0" w:space="0" w:color="auto"/>
                <w:right w:val="none" w:sz="0" w:space="0" w:color="auto"/>
              </w:divBdr>
            </w:div>
            <w:div w:id="1721054838">
              <w:marLeft w:val="0"/>
              <w:marRight w:val="0"/>
              <w:marTop w:val="0"/>
              <w:marBottom w:val="0"/>
              <w:divBdr>
                <w:top w:val="none" w:sz="0" w:space="0" w:color="auto"/>
                <w:left w:val="none" w:sz="0" w:space="0" w:color="auto"/>
                <w:bottom w:val="none" w:sz="0" w:space="0" w:color="auto"/>
                <w:right w:val="none" w:sz="0" w:space="0" w:color="auto"/>
              </w:divBdr>
            </w:div>
            <w:div w:id="2002394244">
              <w:marLeft w:val="0"/>
              <w:marRight w:val="0"/>
              <w:marTop w:val="0"/>
              <w:marBottom w:val="0"/>
              <w:divBdr>
                <w:top w:val="none" w:sz="0" w:space="0" w:color="auto"/>
                <w:left w:val="none" w:sz="0" w:space="0" w:color="auto"/>
                <w:bottom w:val="none" w:sz="0" w:space="0" w:color="auto"/>
                <w:right w:val="none" w:sz="0" w:space="0" w:color="auto"/>
              </w:divBdr>
            </w:div>
            <w:div w:id="2084720511">
              <w:marLeft w:val="0"/>
              <w:marRight w:val="0"/>
              <w:marTop w:val="0"/>
              <w:marBottom w:val="0"/>
              <w:divBdr>
                <w:top w:val="none" w:sz="0" w:space="0" w:color="auto"/>
                <w:left w:val="none" w:sz="0" w:space="0" w:color="auto"/>
                <w:bottom w:val="none" w:sz="0" w:space="0" w:color="auto"/>
                <w:right w:val="none" w:sz="0" w:space="0" w:color="auto"/>
              </w:divBdr>
            </w:div>
            <w:div w:id="1339044929">
              <w:marLeft w:val="0"/>
              <w:marRight w:val="0"/>
              <w:marTop w:val="0"/>
              <w:marBottom w:val="0"/>
              <w:divBdr>
                <w:top w:val="none" w:sz="0" w:space="0" w:color="auto"/>
                <w:left w:val="none" w:sz="0" w:space="0" w:color="auto"/>
                <w:bottom w:val="none" w:sz="0" w:space="0" w:color="auto"/>
                <w:right w:val="none" w:sz="0" w:space="0" w:color="auto"/>
              </w:divBdr>
            </w:div>
            <w:div w:id="888343939">
              <w:marLeft w:val="0"/>
              <w:marRight w:val="0"/>
              <w:marTop w:val="0"/>
              <w:marBottom w:val="0"/>
              <w:divBdr>
                <w:top w:val="none" w:sz="0" w:space="0" w:color="auto"/>
                <w:left w:val="none" w:sz="0" w:space="0" w:color="auto"/>
                <w:bottom w:val="none" w:sz="0" w:space="0" w:color="auto"/>
                <w:right w:val="none" w:sz="0" w:space="0" w:color="auto"/>
              </w:divBdr>
            </w:div>
            <w:div w:id="1700617089">
              <w:marLeft w:val="0"/>
              <w:marRight w:val="0"/>
              <w:marTop w:val="0"/>
              <w:marBottom w:val="0"/>
              <w:divBdr>
                <w:top w:val="none" w:sz="0" w:space="0" w:color="auto"/>
                <w:left w:val="none" w:sz="0" w:space="0" w:color="auto"/>
                <w:bottom w:val="none" w:sz="0" w:space="0" w:color="auto"/>
                <w:right w:val="none" w:sz="0" w:space="0" w:color="auto"/>
              </w:divBdr>
            </w:div>
            <w:div w:id="2071685278">
              <w:marLeft w:val="0"/>
              <w:marRight w:val="0"/>
              <w:marTop w:val="0"/>
              <w:marBottom w:val="0"/>
              <w:divBdr>
                <w:top w:val="none" w:sz="0" w:space="0" w:color="auto"/>
                <w:left w:val="none" w:sz="0" w:space="0" w:color="auto"/>
                <w:bottom w:val="none" w:sz="0" w:space="0" w:color="auto"/>
                <w:right w:val="none" w:sz="0" w:space="0" w:color="auto"/>
              </w:divBdr>
            </w:div>
            <w:div w:id="184904791">
              <w:marLeft w:val="0"/>
              <w:marRight w:val="0"/>
              <w:marTop w:val="0"/>
              <w:marBottom w:val="0"/>
              <w:divBdr>
                <w:top w:val="none" w:sz="0" w:space="0" w:color="auto"/>
                <w:left w:val="none" w:sz="0" w:space="0" w:color="auto"/>
                <w:bottom w:val="none" w:sz="0" w:space="0" w:color="auto"/>
                <w:right w:val="none" w:sz="0" w:space="0" w:color="auto"/>
              </w:divBdr>
            </w:div>
            <w:div w:id="1567063980">
              <w:marLeft w:val="0"/>
              <w:marRight w:val="0"/>
              <w:marTop w:val="0"/>
              <w:marBottom w:val="0"/>
              <w:divBdr>
                <w:top w:val="none" w:sz="0" w:space="0" w:color="auto"/>
                <w:left w:val="none" w:sz="0" w:space="0" w:color="auto"/>
                <w:bottom w:val="none" w:sz="0" w:space="0" w:color="auto"/>
                <w:right w:val="none" w:sz="0" w:space="0" w:color="auto"/>
              </w:divBdr>
            </w:div>
            <w:div w:id="158810099">
              <w:marLeft w:val="0"/>
              <w:marRight w:val="0"/>
              <w:marTop w:val="0"/>
              <w:marBottom w:val="0"/>
              <w:divBdr>
                <w:top w:val="none" w:sz="0" w:space="0" w:color="auto"/>
                <w:left w:val="none" w:sz="0" w:space="0" w:color="auto"/>
                <w:bottom w:val="none" w:sz="0" w:space="0" w:color="auto"/>
                <w:right w:val="none" w:sz="0" w:space="0" w:color="auto"/>
              </w:divBdr>
            </w:div>
            <w:div w:id="1622762664">
              <w:marLeft w:val="0"/>
              <w:marRight w:val="0"/>
              <w:marTop w:val="0"/>
              <w:marBottom w:val="0"/>
              <w:divBdr>
                <w:top w:val="none" w:sz="0" w:space="0" w:color="auto"/>
                <w:left w:val="none" w:sz="0" w:space="0" w:color="auto"/>
                <w:bottom w:val="none" w:sz="0" w:space="0" w:color="auto"/>
                <w:right w:val="none" w:sz="0" w:space="0" w:color="auto"/>
              </w:divBdr>
            </w:div>
            <w:div w:id="839975623">
              <w:marLeft w:val="0"/>
              <w:marRight w:val="0"/>
              <w:marTop w:val="0"/>
              <w:marBottom w:val="0"/>
              <w:divBdr>
                <w:top w:val="none" w:sz="0" w:space="0" w:color="auto"/>
                <w:left w:val="none" w:sz="0" w:space="0" w:color="auto"/>
                <w:bottom w:val="none" w:sz="0" w:space="0" w:color="auto"/>
                <w:right w:val="none" w:sz="0" w:space="0" w:color="auto"/>
              </w:divBdr>
            </w:div>
            <w:div w:id="56796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830273">
      <w:bodyDiv w:val="1"/>
      <w:marLeft w:val="0"/>
      <w:marRight w:val="0"/>
      <w:marTop w:val="0"/>
      <w:marBottom w:val="0"/>
      <w:divBdr>
        <w:top w:val="none" w:sz="0" w:space="0" w:color="auto"/>
        <w:left w:val="none" w:sz="0" w:space="0" w:color="auto"/>
        <w:bottom w:val="none" w:sz="0" w:space="0" w:color="auto"/>
        <w:right w:val="none" w:sz="0" w:space="0" w:color="auto"/>
      </w:divBdr>
      <w:divsChild>
        <w:div w:id="1931353972">
          <w:marLeft w:val="0"/>
          <w:marRight w:val="0"/>
          <w:marTop w:val="0"/>
          <w:marBottom w:val="0"/>
          <w:divBdr>
            <w:top w:val="none" w:sz="0" w:space="0" w:color="auto"/>
            <w:left w:val="none" w:sz="0" w:space="0" w:color="auto"/>
            <w:bottom w:val="none" w:sz="0" w:space="0" w:color="auto"/>
            <w:right w:val="none" w:sz="0" w:space="0" w:color="auto"/>
          </w:divBdr>
        </w:div>
      </w:divsChild>
    </w:div>
    <w:div w:id="1174147287">
      <w:bodyDiv w:val="1"/>
      <w:marLeft w:val="0"/>
      <w:marRight w:val="0"/>
      <w:marTop w:val="0"/>
      <w:marBottom w:val="0"/>
      <w:divBdr>
        <w:top w:val="none" w:sz="0" w:space="0" w:color="auto"/>
        <w:left w:val="none" w:sz="0" w:space="0" w:color="auto"/>
        <w:bottom w:val="none" w:sz="0" w:space="0" w:color="auto"/>
        <w:right w:val="none" w:sz="0" w:space="0" w:color="auto"/>
      </w:divBdr>
      <w:divsChild>
        <w:div w:id="897787638">
          <w:marLeft w:val="0"/>
          <w:marRight w:val="0"/>
          <w:marTop w:val="0"/>
          <w:marBottom w:val="0"/>
          <w:divBdr>
            <w:top w:val="none" w:sz="0" w:space="0" w:color="auto"/>
            <w:left w:val="none" w:sz="0" w:space="0" w:color="auto"/>
            <w:bottom w:val="none" w:sz="0" w:space="0" w:color="auto"/>
            <w:right w:val="none" w:sz="0" w:space="0" w:color="auto"/>
          </w:divBdr>
        </w:div>
      </w:divsChild>
    </w:div>
    <w:div w:id="1176458510">
      <w:bodyDiv w:val="1"/>
      <w:marLeft w:val="0"/>
      <w:marRight w:val="0"/>
      <w:marTop w:val="0"/>
      <w:marBottom w:val="0"/>
      <w:divBdr>
        <w:top w:val="none" w:sz="0" w:space="0" w:color="auto"/>
        <w:left w:val="none" w:sz="0" w:space="0" w:color="auto"/>
        <w:bottom w:val="none" w:sz="0" w:space="0" w:color="auto"/>
        <w:right w:val="none" w:sz="0" w:space="0" w:color="auto"/>
      </w:divBdr>
      <w:divsChild>
        <w:div w:id="1754162535">
          <w:marLeft w:val="0"/>
          <w:marRight w:val="0"/>
          <w:marTop w:val="0"/>
          <w:marBottom w:val="0"/>
          <w:divBdr>
            <w:top w:val="none" w:sz="0" w:space="0" w:color="auto"/>
            <w:left w:val="none" w:sz="0" w:space="0" w:color="auto"/>
            <w:bottom w:val="none" w:sz="0" w:space="0" w:color="auto"/>
            <w:right w:val="none" w:sz="0" w:space="0" w:color="auto"/>
          </w:divBdr>
        </w:div>
      </w:divsChild>
    </w:div>
    <w:div w:id="1370380393">
      <w:bodyDiv w:val="1"/>
      <w:marLeft w:val="0"/>
      <w:marRight w:val="0"/>
      <w:marTop w:val="0"/>
      <w:marBottom w:val="0"/>
      <w:divBdr>
        <w:top w:val="none" w:sz="0" w:space="0" w:color="auto"/>
        <w:left w:val="none" w:sz="0" w:space="0" w:color="auto"/>
        <w:bottom w:val="none" w:sz="0" w:space="0" w:color="auto"/>
        <w:right w:val="none" w:sz="0" w:space="0" w:color="auto"/>
      </w:divBdr>
      <w:divsChild>
        <w:div w:id="1080953789">
          <w:marLeft w:val="0"/>
          <w:marRight w:val="0"/>
          <w:marTop w:val="0"/>
          <w:marBottom w:val="0"/>
          <w:divBdr>
            <w:top w:val="none" w:sz="0" w:space="0" w:color="auto"/>
            <w:left w:val="none" w:sz="0" w:space="0" w:color="auto"/>
            <w:bottom w:val="none" w:sz="0" w:space="0" w:color="auto"/>
            <w:right w:val="none" w:sz="0" w:space="0" w:color="auto"/>
          </w:divBdr>
        </w:div>
      </w:divsChild>
    </w:div>
    <w:div w:id="1400783973">
      <w:bodyDiv w:val="1"/>
      <w:marLeft w:val="0"/>
      <w:marRight w:val="0"/>
      <w:marTop w:val="0"/>
      <w:marBottom w:val="0"/>
      <w:divBdr>
        <w:top w:val="none" w:sz="0" w:space="0" w:color="auto"/>
        <w:left w:val="none" w:sz="0" w:space="0" w:color="auto"/>
        <w:bottom w:val="none" w:sz="0" w:space="0" w:color="auto"/>
        <w:right w:val="none" w:sz="0" w:space="0" w:color="auto"/>
      </w:divBdr>
      <w:divsChild>
        <w:div w:id="1929460225">
          <w:marLeft w:val="0"/>
          <w:marRight w:val="0"/>
          <w:marTop w:val="0"/>
          <w:marBottom w:val="0"/>
          <w:divBdr>
            <w:top w:val="none" w:sz="0" w:space="0" w:color="auto"/>
            <w:left w:val="none" w:sz="0" w:space="0" w:color="auto"/>
            <w:bottom w:val="none" w:sz="0" w:space="0" w:color="auto"/>
            <w:right w:val="none" w:sz="0" w:space="0" w:color="auto"/>
          </w:divBdr>
        </w:div>
      </w:divsChild>
    </w:div>
    <w:div w:id="1466236945">
      <w:bodyDiv w:val="1"/>
      <w:marLeft w:val="0"/>
      <w:marRight w:val="0"/>
      <w:marTop w:val="0"/>
      <w:marBottom w:val="0"/>
      <w:divBdr>
        <w:top w:val="none" w:sz="0" w:space="0" w:color="auto"/>
        <w:left w:val="none" w:sz="0" w:space="0" w:color="auto"/>
        <w:bottom w:val="none" w:sz="0" w:space="0" w:color="auto"/>
        <w:right w:val="none" w:sz="0" w:space="0" w:color="auto"/>
      </w:divBdr>
      <w:divsChild>
        <w:div w:id="337196315">
          <w:marLeft w:val="0"/>
          <w:marRight w:val="0"/>
          <w:marTop w:val="0"/>
          <w:marBottom w:val="0"/>
          <w:divBdr>
            <w:top w:val="none" w:sz="0" w:space="0" w:color="auto"/>
            <w:left w:val="none" w:sz="0" w:space="0" w:color="auto"/>
            <w:bottom w:val="none" w:sz="0" w:space="0" w:color="auto"/>
            <w:right w:val="none" w:sz="0" w:space="0" w:color="auto"/>
          </w:divBdr>
        </w:div>
      </w:divsChild>
    </w:div>
    <w:div w:id="1536112208">
      <w:bodyDiv w:val="1"/>
      <w:marLeft w:val="0"/>
      <w:marRight w:val="0"/>
      <w:marTop w:val="0"/>
      <w:marBottom w:val="0"/>
      <w:divBdr>
        <w:top w:val="none" w:sz="0" w:space="0" w:color="auto"/>
        <w:left w:val="none" w:sz="0" w:space="0" w:color="auto"/>
        <w:bottom w:val="none" w:sz="0" w:space="0" w:color="auto"/>
        <w:right w:val="none" w:sz="0" w:space="0" w:color="auto"/>
      </w:divBdr>
      <w:divsChild>
        <w:div w:id="1874417606">
          <w:marLeft w:val="0"/>
          <w:marRight w:val="0"/>
          <w:marTop w:val="0"/>
          <w:marBottom w:val="0"/>
          <w:divBdr>
            <w:top w:val="none" w:sz="0" w:space="0" w:color="auto"/>
            <w:left w:val="none" w:sz="0" w:space="0" w:color="auto"/>
            <w:bottom w:val="none" w:sz="0" w:space="0" w:color="auto"/>
            <w:right w:val="none" w:sz="0" w:space="0" w:color="auto"/>
          </w:divBdr>
        </w:div>
      </w:divsChild>
    </w:div>
    <w:div w:id="1611741862">
      <w:bodyDiv w:val="1"/>
      <w:marLeft w:val="0"/>
      <w:marRight w:val="0"/>
      <w:marTop w:val="0"/>
      <w:marBottom w:val="0"/>
      <w:divBdr>
        <w:top w:val="none" w:sz="0" w:space="0" w:color="auto"/>
        <w:left w:val="none" w:sz="0" w:space="0" w:color="auto"/>
        <w:bottom w:val="none" w:sz="0" w:space="0" w:color="auto"/>
        <w:right w:val="none" w:sz="0" w:space="0" w:color="auto"/>
      </w:divBdr>
      <w:divsChild>
        <w:div w:id="859273090">
          <w:marLeft w:val="0"/>
          <w:marRight w:val="0"/>
          <w:marTop w:val="0"/>
          <w:marBottom w:val="0"/>
          <w:divBdr>
            <w:top w:val="none" w:sz="0" w:space="0" w:color="auto"/>
            <w:left w:val="none" w:sz="0" w:space="0" w:color="auto"/>
            <w:bottom w:val="none" w:sz="0" w:space="0" w:color="auto"/>
            <w:right w:val="none" w:sz="0" w:space="0" w:color="auto"/>
          </w:divBdr>
        </w:div>
      </w:divsChild>
    </w:div>
    <w:div w:id="1627203332">
      <w:bodyDiv w:val="1"/>
      <w:marLeft w:val="0"/>
      <w:marRight w:val="0"/>
      <w:marTop w:val="0"/>
      <w:marBottom w:val="0"/>
      <w:divBdr>
        <w:top w:val="none" w:sz="0" w:space="0" w:color="auto"/>
        <w:left w:val="none" w:sz="0" w:space="0" w:color="auto"/>
        <w:bottom w:val="none" w:sz="0" w:space="0" w:color="auto"/>
        <w:right w:val="none" w:sz="0" w:space="0" w:color="auto"/>
      </w:divBdr>
      <w:divsChild>
        <w:div w:id="411659884">
          <w:marLeft w:val="0"/>
          <w:marRight w:val="0"/>
          <w:marTop w:val="0"/>
          <w:marBottom w:val="0"/>
          <w:divBdr>
            <w:top w:val="none" w:sz="0" w:space="0" w:color="auto"/>
            <w:left w:val="none" w:sz="0" w:space="0" w:color="auto"/>
            <w:bottom w:val="none" w:sz="0" w:space="0" w:color="auto"/>
            <w:right w:val="none" w:sz="0" w:space="0" w:color="auto"/>
          </w:divBdr>
        </w:div>
      </w:divsChild>
    </w:div>
    <w:div w:id="1629042482">
      <w:bodyDiv w:val="1"/>
      <w:marLeft w:val="0"/>
      <w:marRight w:val="0"/>
      <w:marTop w:val="0"/>
      <w:marBottom w:val="0"/>
      <w:divBdr>
        <w:top w:val="none" w:sz="0" w:space="0" w:color="auto"/>
        <w:left w:val="none" w:sz="0" w:space="0" w:color="auto"/>
        <w:bottom w:val="none" w:sz="0" w:space="0" w:color="auto"/>
        <w:right w:val="none" w:sz="0" w:space="0" w:color="auto"/>
      </w:divBdr>
      <w:divsChild>
        <w:div w:id="2126267890">
          <w:marLeft w:val="0"/>
          <w:marRight w:val="0"/>
          <w:marTop w:val="0"/>
          <w:marBottom w:val="0"/>
          <w:divBdr>
            <w:top w:val="none" w:sz="0" w:space="0" w:color="auto"/>
            <w:left w:val="none" w:sz="0" w:space="0" w:color="auto"/>
            <w:bottom w:val="none" w:sz="0" w:space="0" w:color="auto"/>
            <w:right w:val="none" w:sz="0" w:space="0" w:color="auto"/>
          </w:divBdr>
        </w:div>
      </w:divsChild>
    </w:div>
    <w:div w:id="1665622924">
      <w:bodyDiv w:val="1"/>
      <w:marLeft w:val="0"/>
      <w:marRight w:val="0"/>
      <w:marTop w:val="0"/>
      <w:marBottom w:val="0"/>
      <w:divBdr>
        <w:top w:val="none" w:sz="0" w:space="0" w:color="auto"/>
        <w:left w:val="none" w:sz="0" w:space="0" w:color="auto"/>
        <w:bottom w:val="none" w:sz="0" w:space="0" w:color="auto"/>
        <w:right w:val="none" w:sz="0" w:space="0" w:color="auto"/>
      </w:divBdr>
      <w:divsChild>
        <w:div w:id="1225948515">
          <w:marLeft w:val="0"/>
          <w:marRight w:val="0"/>
          <w:marTop w:val="0"/>
          <w:marBottom w:val="0"/>
          <w:divBdr>
            <w:top w:val="none" w:sz="0" w:space="0" w:color="auto"/>
            <w:left w:val="none" w:sz="0" w:space="0" w:color="auto"/>
            <w:bottom w:val="none" w:sz="0" w:space="0" w:color="auto"/>
            <w:right w:val="none" w:sz="0" w:space="0" w:color="auto"/>
          </w:divBdr>
        </w:div>
      </w:divsChild>
    </w:div>
    <w:div w:id="1680234106">
      <w:bodyDiv w:val="1"/>
      <w:marLeft w:val="0"/>
      <w:marRight w:val="0"/>
      <w:marTop w:val="0"/>
      <w:marBottom w:val="0"/>
      <w:divBdr>
        <w:top w:val="none" w:sz="0" w:space="0" w:color="auto"/>
        <w:left w:val="none" w:sz="0" w:space="0" w:color="auto"/>
        <w:bottom w:val="none" w:sz="0" w:space="0" w:color="auto"/>
        <w:right w:val="none" w:sz="0" w:space="0" w:color="auto"/>
      </w:divBdr>
      <w:divsChild>
        <w:div w:id="473451825">
          <w:marLeft w:val="0"/>
          <w:marRight w:val="0"/>
          <w:marTop w:val="0"/>
          <w:marBottom w:val="0"/>
          <w:divBdr>
            <w:top w:val="none" w:sz="0" w:space="0" w:color="auto"/>
            <w:left w:val="none" w:sz="0" w:space="0" w:color="auto"/>
            <w:bottom w:val="none" w:sz="0" w:space="0" w:color="auto"/>
            <w:right w:val="none" w:sz="0" w:space="0" w:color="auto"/>
          </w:divBdr>
          <w:divsChild>
            <w:div w:id="118235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sChild>
        <w:div w:id="70546960">
          <w:marLeft w:val="0"/>
          <w:marRight w:val="0"/>
          <w:marTop w:val="0"/>
          <w:marBottom w:val="0"/>
          <w:divBdr>
            <w:top w:val="none" w:sz="0" w:space="0" w:color="auto"/>
            <w:left w:val="none" w:sz="0" w:space="0" w:color="auto"/>
            <w:bottom w:val="none" w:sz="0" w:space="0" w:color="auto"/>
            <w:right w:val="none" w:sz="0" w:space="0" w:color="auto"/>
          </w:divBdr>
        </w:div>
      </w:divsChild>
    </w:div>
    <w:div w:id="1716928161">
      <w:bodyDiv w:val="1"/>
      <w:marLeft w:val="0"/>
      <w:marRight w:val="0"/>
      <w:marTop w:val="0"/>
      <w:marBottom w:val="0"/>
      <w:divBdr>
        <w:top w:val="none" w:sz="0" w:space="0" w:color="auto"/>
        <w:left w:val="none" w:sz="0" w:space="0" w:color="auto"/>
        <w:bottom w:val="none" w:sz="0" w:space="0" w:color="auto"/>
        <w:right w:val="none" w:sz="0" w:space="0" w:color="auto"/>
      </w:divBdr>
      <w:divsChild>
        <w:div w:id="1580555026">
          <w:marLeft w:val="0"/>
          <w:marRight w:val="0"/>
          <w:marTop w:val="0"/>
          <w:marBottom w:val="0"/>
          <w:divBdr>
            <w:top w:val="none" w:sz="0" w:space="0" w:color="auto"/>
            <w:left w:val="none" w:sz="0" w:space="0" w:color="auto"/>
            <w:bottom w:val="none" w:sz="0" w:space="0" w:color="auto"/>
            <w:right w:val="none" w:sz="0" w:space="0" w:color="auto"/>
          </w:divBdr>
        </w:div>
      </w:divsChild>
    </w:div>
    <w:div w:id="1791049529">
      <w:bodyDiv w:val="1"/>
      <w:marLeft w:val="0"/>
      <w:marRight w:val="0"/>
      <w:marTop w:val="0"/>
      <w:marBottom w:val="0"/>
      <w:divBdr>
        <w:top w:val="none" w:sz="0" w:space="0" w:color="auto"/>
        <w:left w:val="none" w:sz="0" w:space="0" w:color="auto"/>
        <w:bottom w:val="none" w:sz="0" w:space="0" w:color="auto"/>
        <w:right w:val="none" w:sz="0" w:space="0" w:color="auto"/>
      </w:divBdr>
      <w:divsChild>
        <w:div w:id="1482573898">
          <w:marLeft w:val="0"/>
          <w:marRight w:val="0"/>
          <w:marTop w:val="0"/>
          <w:marBottom w:val="0"/>
          <w:divBdr>
            <w:top w:val="none" w:sz="0" w:space="0" w:color="auto"/>
            <w:left w:val="none" w:sz="0" w:space="0" w:color="auto"/>
            <w:bottom w:val="none" w:sz="0" w:space="0" w:color="auto"/>
            <w:right w:val="none" w:sz="0" w:space="0" w:color="auto"/>
          </w:divBdr>
        </w:div>
      </w:divsChild>
    </w:div>
    <w:div w:id="1827546004">
      <w:bodyDiv w:val="1"/>
      <w:marLeft w:val="0"/>
      <w:marRight w:val="0"/>
      <w:marTop w:val="0"/>
      <w:marBottom w:val="0"/>
      <w:divBdr>
        <w:top w:val="none" w:sz="0" w:space="0" w:color="auto"/>
        <w:left w:val="none" w:sz="0" w:space="0" w:color="auto"/>
        <w:bottom w:val="none" w:sz="0" w:space="0" w:color="auto"/>
        <w:right w:val="none" w:sz="0" w:space="0" w:color="auto"/>
      </w:divBdr>
    </w:div>
    <w:div w:id="1848325208">
      <w:bodyDiv w:val="1"/>
      <w:marLeft w:val="0"/>
      <w:marRight w:val="0"/>
      <w:marTop w:val="0"/>
      <w:marBottom w:val="0"/>
      <w:divBdr>
        <w:top w:val="none" w:sz="0" w:space="0" w:color="auto"/>
        <w:left w:val="none" w:sz="0" w:space="0" w:color="auto"/>
        <w:bottom w:val="none" w:sz="0" w:space="0" w:color="auto"/>
        <w:right w:val="none" w:sz="0" w:space="0" w:color="auto"/>
      </w:divBdr>
      <w:divsChild>
        <w:div w:id="9528914">
          <w:marLeft w:val="0"/>
          <w:marRight w:val="0"/>
          <w:marTop w:val="0"/>
          <w:marBottom w:val="0"/>
          <w:divBdr>
            <w:top w:val="none" w:sz="0" w:space="0" w:color="auto"/>
            <w:left w:val="none" w:sz="0" w:space="0" w:color="auto"/>
            <w:bottom w:val="none" w:sz="0" w:space="0" w:color="auto"/>
            <w:right w:val="none" w:sz="0" w:space="0" w:color="auto"/>
          </w:divBdr>
        </w:div>
      </w:divsChild>
    </w:div>
    <w:div w:id="1854151421">
      <w:bodyDiv w:val="1"/>
      <w:marLeft w:val="0"/>
      <w:marRight w:val="0"/>
      <w:marTop w:val="0"/>
      <w:marBottom w:val="0"/>
      <w:divBdr>
        <w:top w:val="none" w:sz="0" w:space="0" w:color="auto"/>
        <w:left w:val="none" w:sz="0" w:space="0" w:color="auto"/>
        <w:bottom w:val="none" w:sz="0" w:space="0" w:color="auto"/>
        <w:right w:val="none" w:sz="0" w:space="0" w:color="auto"/>
      </w:divBdr>
      <w:divsChild>
        <w:div w:id="1495030046">
          <w:marLeft w:val="0"/>
          <w:marRight w:val="0"/>
          <w:marTop w:val="0"/>
          <w:marBottom w:val="0"/>
          <w:divBdr>
            <w:top w:val="none" w:sz="0" w:space="0" w:color="auto"/>
            <w:left w:val="none" w:sz="0" w:space="0" w:color="auto"/>
            <w:bottom w:val="none" w:sz="0" w:space="0" w:color="auto"/>
            <w:right w:val="none" w:sz="0" w:space="0" w:color="auto"/>
          </w:divBdr>
        </w:div>
      </w:divsChild>
    </w:div>
    <w:div w:id="1864902921">
      <w:bodyDiv w:val="1"/>
      <w:marLeft w:val="0"/>
      <w:marRight w:val="0"/>
      <w:marTop w:val="0"/>
      <w:marBottom w:val="0"/>
      <w:divBdr>
        <w:top w:val="none" w:sz="0" w:space="0" w:color="auto"/>
        <w:left w:val="none" w:sz="0" w:space="0" w:color="auto"/>
        <w:bottom w:val="none" w:sz="0" w:space="0" w:color="auto"/>
        <w:right w:val="none" w:sz="0" w:space="0" w:color="auto"/>
      </w:divBdr>
      <w:divsChild>
        <w:div w:id="2122874578">
          <w:marLeft w:val="0"/>
          <w:marRight w:val="0"/>
          <w:marTop w:val="0"/>
          <w:marBottom w:val="0"/>
          <w:divBdr>
            <w:top w:val="none" w:sz="0" w:space="0" w:color="auto"/>
            <w:left w:val="none" w:sz="0" w:space="0" w:color="auto"/>
            <w:bottom w:val="none" w:sz="0" w:space="0" w:color="auto"/>
            <w:right w:val="none" w:sz="0" w:space="0" w:color="auto"/>
          </w:divBdr>
          <w:divsChild>
            <w:div w:id="56291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64460838">
      <w:bodyDiv w:val="1"/>
      <w:marLeft w:val="0"/>
      <w:marRight w:val="0"/>
      <w:marTop w:val="0"/>
      <w:marBottom w:val="0"/>
      <w:divBdr>
        <w:top w:val="none" w:sz="0" w:space="0" w:color="auto"/>
        <w:left w:val="none" w:sz="0" w:space="0" w:color="auto"/>
        <w:bottom w:val="none" w:sz="0" w:space="0" w:color="auto"/>
        <w:right w:val="none" w:sz="0" w:space="0" w:color="auto"/>
      </w:divBdr>
      <w:divsChild>
        <w:div w:id="1426923919">
          <w:marLeft w:val="0"/>
          <w:marRight w:val="0"/>
          <w:marTop w:val="0"/>
          <w:marBottom w:val="0"/>
          <w:divBdr>
            <w:top w:val="none" w:sz="0" w:space="0" w:color="auto"/>
            <w:left w:val="none" w:sz="0" w:space="0" w:color="auto"/>
            <w:bottom w:val="none" w:sz="0" w:space="0" w:color="auto"/>
            <w:right w:val="none" w:sz="0" w:space="0" w:color="auto"/>
          </w:divBdr>
          <w:divsChild>
            <w:div w:id="1908228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53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916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472991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07863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9190311">
      <w:bodyDiv w:val="1"/>
      <w:marLeft w:val="0"/>
      <w:marRight w:val="0"/>
      <w:marTop w:val="0"/>
      <w:marBottom w:val="0"/>
      <w:divBdr>
        <w:top w:val="none" w:sz="0" w:space="0" w:color="auto"/>
        <w:left w:val="none" w:sz="0" w:space="0" w:color="auto"/>
        <w:bottom w:val="none" w:sz="0" w:space="0" w:color="auto"/>
        <w:right w:val="none" w:sz="0" w:space="0" w:color="auto"/>
      </w:divBdr>
      <w:divsChild>
        <w:div w:id="517354169">
          <w:marLeft w:val="0"/>
          <w:marRight w:val="0"/>
          <w:marTop w:val="0"/>
          <w:marBottom w:val="0"/>
          <w:divBdr>
            <w:top w:val="none" w:sz="0" w:space="0" w:color="auto"/>
            <w:left w:val="none" w:sz="0" w:space="0" w:color="auto"/>
            <w:bottom w:val="none" w:sz="0" w:space="0" w:color="auto"/>
            <w:right w:val="none" w:sz="0" w:space="0" w:color="auto"/>
          </w:divBdr>
        </w:div>
      </w:divsChild>
    </w:div>
    <w:div w:id="2027708423">
      <w:bodyDiv w:val="1"/>
      <w:marLeft w:val="0"/>
      <w:marRight w:val="0"/>
      <w:marTop w:val="0"/>
      <w:marBottom w:val="0"/>
      <w:divBdr>
        <w:top w:val="none" w:sz="0" w:space="0" w:color="auto"/>
        <w:left w:val="none" w:sz="0" w:space="0" w:color="auto"/>
        <w:bottom w:val="none" w:sz="0" w:space="0" w:color="auto"/>
        <w:right w:val="none" w:sz="0" w:space="0" w:color="auto"/>
      </w:divBdr>
      <w:divsChild>
        <w:div w:id="115370141">
          <w:marLeft w:val="0"/>
          <w:marRight w:val="0"/>
          <w:marTop w:val="0"/>
          <w:marBottom w:val="0"/>
          <w:divBdr>
            <w:top w:val="none" w:sz="0" w:space="0" w:color="auto"/>
            <w:left w:val="none" w:sz="0" w:space="0" w:color="auto"/>
            <w:bottom w:val="none" w:sz="0" w:space="0" w:color="auto"/>
            <w:right w:val="none" w:sz="0" w:space="0" w:color="auto"/>
          </w:divBdr>
        </w:div>
      </w:divsChild>
    </w:div>
    <w:div w:id="2102748881">
      <w:bodyDiv w:val="1"/>
      <w:marLeft w:val="0"/>
      <w:marRight w:val="0"/>
      <w:marTop w:val="0"/>
      <w:marBottom w:val="0"/>
      <w:divBdr>
        <w:top w:val="none" w:sz="0" w:space="0" w:color="auto"/>
        <w:left w:val="none" w:sz="0" w:space="0" w:color="auto"/>
        <w:bottom w:val="none" w:sz="0" w:space="0" w:color="auto"/>
        <w:right w:val="none" w:sz="0" w:space="0" w:color="auto"/>
      </w:divBdr>
      <w:divsChild>
        <w:div w:id="1149715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D7F38-36C2-49C4-AB15-A74380C7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12397</Words>
  <Characters>70666</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2026-09-25T13:09:00Z</dcterms:created>
  <dcterms:modified xsi:type="dcterms:W3CDTF">2026-09-25T13:09:00Z</dcterms:modified>
</cp:coreProperties>
</file>